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FE" w:rsidRPr="00471AFE" w:rsidRDefault="004266B3" w:rsidP="00471AFE">
      <w:pPr>
        <w:autoSpaceDE w:val="0"/>
        <w:autoSpaceDN w:val="0"/>
        <w:adjustRightInd w:val="0"/>
        <w:rPr>
          <w:rFonts w:ascii="Arial" w:hAnsi="Arial" w:cs="Arial"/>
          <w:b/>
          <w:shd w:val="clear" w:color="auto" w:fill="FFFFFF"/>
        </w:rPr>
      </w:pPr>
      <w:bookmarkStart w:id="0" w:name="_GoBack"/>
      <w:bookmarkEnd w:id="0"/>
      <w:r>
        <w:rPr>
          <w:rFonts w:ascii="Arial" w:hAnsi="Arial" w:cs="Arial"/>
          <w:b/>
          <w:shd w:val="clear" w:color="auto" w:fill="FFFFFF"/>
        </w:rPr>
        <w:t>Insgesamt</w:t>
      </w:r>
      <w:r w:rsidR="00471AFE" w:rsidRPr="00471AFE">
        <w:rPr>
          <w:rFonts w:ascii="Arial" w:hAnsi="Arial" w:cs="Arial"/>
          <w:b/>
          <w:shd w:val="clear" w:color="auto" w:fill="FFFFFF"/>
        </w:rPr>
        <w:t xml:space="preserve"> ist festzustellen, dass je höher das </w:t>
      </w:r>
      <w:r w:rsidR="00471AFE">
        <w:rPr>
          <w:rFonts w:ascii="Arial" w:hAnsi="Arial" w:cs="Arial"/>
          <w:b/>
          <w:shd w:val="clear" w:color="auto" w:fill="FFFFFF"/>
        </w:rPr>
        <w:t>E</w:t>
      </w:r>
      <w:r w:rsidR="00471AFE" w:rsidRPr="00471AFE">
        <w:rPr>
          <w:rFonts w:ascii="Arial" w:hAnsi="Arial" w:cs="Arial"/>
          <w:b/>
          <w:shd w:val="clear" w:color="auto" w:fill="FFFFFF"/>
        </w:rPr>
        <w:t xml:space="preserve">inkommen </w:t>
      </w:r>
      <w:r w:rsidR="00471AFE">
        <w:rPr>
          <w:rFonts w:ascii="Arial" w:hAnsi="Arial" w:cs="Arial"/>
          <w:b/>
          <w:shd w:val="clear" w:color="auto" w:fill="FFFFFF"/>
        </w:rPr>
        <w:t xml:space="preserve">einer </w:t>
      </w:r>
      <w:r w:rsidR="00471AFE" w:rsidRPr="00471AFE">
        <w:rPr>
          <w:rFonts w:ascii="Arial" w:hAnsi="Arial" w:cs="Arial"/>
          <w:b/>
          <w:shd w:val="clear" w:color="auto" w:fill="FFFFFF"/>
        </w:rPr>
        <w:t>Person</w:t>
      </w:r>
      <w:r w:rsidR="00471AFE">
        <w:rPr>
          <w:rFonts w:ascii="Arial" w:hAnsi="Arial" w:cs="Arial"/>
          <w:b/>
          <w:shd w:val="clear" w:color="auto" w:fill="FFFFFF"/>
        </w:rPr>
        <w:t xml:space="preserve"> </w:t>
      </w:r>
      <w:r w:rsidR="00471AFE" w:rsidRPr="00471AFE">
        <w:rPr>
          <w:rFonts w:ascii="Arial" w:hAnsi="Arial" w:cs="Arial"/>
          <w:b/>
          <w:shd w:val="clear" w:color="auto" w:fill="FFFFFF"/>
        </w:rPr>
        <w:t xml:space="preserve">ist, desto höher ist auch </w:t>
      </w:r>
      <w:r w:rsidR="00280677">
        <w:rPr>
          <w:rFonts w:ascii="Arial" w:hAnsi="Arial" w:cs="Arial"/>
          <w:b/>
          <w:shd w:val="clear" w:color="auto" w:fill="FFFFFF"/>
        </w:rPr>
        <w:t xml:space="preserve">ihr </w:t>
      </w:r>
      <w:r w:rsidR="00471AFE" w:rsidRPr="00471AFE">
        <w:rPr>
          <w:rFonts w:ascii="Arial" w:hAnsi="Arial" w:cs="Arial"/>
          <w:b/>
          <w:shd w:val="clear" w:color="auto" w:fill="FFFFFF"/>
        </w:rPr>
        <w:t>Nettovermögen. Im Jahr 2017 hatten die einkommensschwächsten 10 Prozent der erwachsenen Bevölkerung</w:t>
      </w:r>
      <w:r w:rsidR="00471AFE">
        <w:rPr>
          <w:rFonts w:ascii="Arial" w:hAnsi="Arial" w:cs="Arial"/>
          <w:b/>
          <w:shd w:val="clear" w:color="auto" w:fill="FFFFFF"/>
        </w:rPr>
        <w:t xml:space="preserve"> </w:t>
      </w:r>
      <w:r w:rsidR="00471AFE" w:rsidRPr="00471AFE">
        <w:rPr>
          <w:rFonts w:ascii="Arial" w:hAnsi="Arial" w:cs="Arial"/>
          <w:b/>
          <w:shd w:val="clear" w:color="auto" w:fill="FFFFFF"/>
        </w:rPr>
        <w:t>ein durchschnittliches Nettovermögen von 23.100 Euro</w:t>
      </w:r>
      <w:r w:rsidR="007E423E">
        <w:rPr>
          <w:rFonts w:ascii="Arial" w:hAnsi="Arial" w:cs="Arial"/>
          <w:b/>
          <w:shd w:val="clear" w:color="auto" w:fill="FFFFFF"/>
        </w:rPr>
        <w:t xml:space="preserve"> pro Kopf</w:t>
      </w:r>
      <w:r w:rsidR="00471AFE" w:rsidRPr="00471AFE">
        <w:rPr>
          <w:rFonts w:ascii="Arial" w:hAnsi="Arial" w:cs="Arial"/>
          <w:b/>
          <w:shd w:val="clear" w:color="auto" w:fill="FFFFFF"/>
        </w:rPr>
        <w:t xml:space="preserve">. </w:t>
      </w:r>
      <w:r w:rsidR="00471AFE">
        <w:rPr>
          <w:rFonts w:ascii="Arial" w:hAnsi="Arial" w:cs="Arial"/>
          <w:b/>
          <w:shd w:val="clear" w:color="auto" w:fill="FFFFFF"/>
        </w:rPr>
        <w:t xml:space="preserve">Bei den </w:t>
      </w:r>
      <w:r w:rsidR="00471AFE" w:rsidRPr="00471AFE">
        <w:rPr>
          <w:rFonts w:ascii="Arial" w:hAnsi="Arial" w:cs="Arial"/>
          <w:b/>
          <w:shd w:val="clear" w:color="auto" w:fill="FFFFFF"/>
        </w:rPr>
        <w:t>10 Prozent der Erwachsenen mit den höchsten Einkommen</w:t>
      </w:r>
      <w:r w:rsidR="00471AFE">
        <w:rPr>
          <w:rFonts w:ascii="Arial" w:hAnsi="Arial" w:cs="Arial"/>
          <w:b/>
          <w:shd w:val="clear" w:color="auto" w:fill="FFFFFF"/>
        </w:rPr>
        <w:t xml:space="preserve"> lag das </w:t>
      </w:r>
      <w:r w:rsidR="00471AFE" w:rsidRPr="00471AFE">
        <w:rPr>
          <w:rFonts w:ascii="Arial" w:hAnsi="Arial" w:cs="Arial"/>
          <w:b/>
          <w:shd w:val="clear" w:color="auto" w:fill="FFFFFF"/>
        </w:rPr>
        <w:t xml:space="preserve">durchschnittliche Vermögen </w:t>
      </w:r>
      <w:r w:rsidR="00471AFE">
        <w:rPr>
          <w:rFonts w:ascii="Arial" w:hAnsi="Arial" w:cs="Arial"/>
          <w:b/>
          <w:shd w:val="clear" w:color="auto" w:fill="FFFFFF"/>
        </w:rPr>
        <w:t xml:space="preserve">bei </w:t>
      </w:r>
      <w:r w:rsidR="00471AFE" w:rsidRPr="00471AFE">
        <w:rPr>
          <w:rFonts w:ascii="Arial" w:hAnsi="Arial" w:cs="Arial"/>
          <w:b/>
          <w:shd w:val="clear" w:color="auto" w:fill="FFFFFF"/>
        </w:rPr>
        <w:t>335.700 Euro</w:t>
      </w:r>
      <w:r w:rsidR="007E423E">
        <w:rPr>
          <w:rFonts w:ascii="Arial" w:hAnsi="Arial" w:cs="Arial"/>
          <w:b/>
          <w:shd w:val="clear" w:color="auto" w:fill="FFFFFF"/>
        </w:rPr>
        <w:t xml:space="preserve"> pro Kopf</w:t>
      </w:r>
      <w:r w:rsidR="00471AFE" w:rsidRPr="00471AFE">
        <w:rPr>
          <w:rFonts w:ascii="Arial" w:hAnsi="Arial" w:cs="Arial"/>
          <w:b/>
          <w:shd w:val="clear" w:color="auto" w:fill="FFFFFF"/>
        </w:rPr>
        <w:t>.</w:t>
      </w:r>
      <w:r w:rsidR="00471AFE">
        <w:rPr>
          <w:rFonts w:ascii="Arial" w:hAnsi="Arial" w:cs="Arial"/>
          <w:b/>
          <w:shd w:val="clear" w:color="auto" w:fill="FFFFFF"/>
        </w:rPr>
        <w:t xml:space="preserve"> Wichtig ist in diesem Zusammenhang auch das Sparverhalten</w:t>
      </w:r>
      <w:r w:rsidR="00471AFE" w:rsidRPr="00471AFE">
        <w:rPr>
          <w:rFonts w:ascii="Arial" w:hAnsi="Arial" w:cs="Arial"/>
          <w:b/>
          <w:shd w:val="clear" w:color="auto" w:fill="FFFFFF"/>
        </w:rPr>
        <w:t>: Je höher die Haushalte in der Einkommensskala rangieren, desto höher ist der Anteil der Haushalte, die regelmäßig sparen, und desto höher ist auch der Anteil vom Einkommen, der gespart wird.</w:t>
      </w:r>
    </w:p>
    <w:p w:rsidR="00471AFE" w:rsidRDefault="00471AFE" w:rsidP="00471AFE">
      <w:pPr>
        <w:autoSpaceDE w:val="0"/>
        <w:autoSpaceDN w:val="0"/>
        <w:adjustRightInd w:val="0"/>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AD3320" w:rsidRDefault="00CA5D69" w:rsidP="009C491E">
      <w:pPr>
        <w:autoSpaceDE w:val="0"/>
        <w:autoSpaceDN w:val="0"/>
        <w:adjustRightInd w:val="0"/>
        <w:rPr>
          <w:rFonts w:ascii="Arial" w:hAnsi="Arial" w:cs="Arial"/>
          <w:shd w:val="clear" w:color="auto" w:fill="FFFFFF"/>
        </w:rPr>
      </w:pPr>
    </w:p>
    <w:p w:rsidR="00551CE1" w:rsidRPr="00AD3320" w:rsidRDefault="00EF59A4" w:rsidP="009C491E">
      <w:pPr>
        <w:autoSpaceDE w:val="0"/>
        <w:autoSpaceDN w:val="0"/>
        <w:adjustRightInd w:val="0"/>
        <w:rPr>
          <w:rFonts w:ascii="Arial" w:hAnsi="Arial" w:cs="Arial"/>
          <w:shd w:val="clear" w:color="auto" w:fill="FFFFFF"/>
        </w:rPr>
      </w:pPr>
      <w:r w:rsidRPr="00AD3320">
        <w:rPr>
          <w:rFonts w:ascii="Arial" w:hAnsi="Arial" w:cs="Arial"/>
          <w:shd w:val="clear" w:color="auto" w:fill="FFFFFF"/>
        </w:rPr>
        <w:t>Um den Zusammenhang zwischen Einkommen und Vermögen darzustellen, wurde</w:t>
      </w:r>
      <w:r w:rsidR="003E3FA5" w:rsidRPr="00AD3320">
        <w:rPr>
          <w:rFonts w:ascii="Arial" w:hAnsi="Arial" w:cs="Arial"/>
          <w:shd w:val="clear" w:color="auto" w:fill="FFFFFF"/>
        </w:rPr>
        <w:t xml:space="preserve"> vom Deutschen Institut für Wirtschaftsforschung (DIW) </w:t>
      </w:r>
      <w:r w:rsidRPr="00AD3320">
        <w:rPr>
          <w:rFonts w:ascii="Arial" w:hAnsi="Arial" w:cs="Arial"/>
          <w:shd w:val="clear" w:color="auto" w:fill="FFFFFF"/>
        </w:rPr>
        <w:t xml:space="preserve">zunächst für alle Erwachsenen das verfügbare, gewichtete Einkommen </w:t>
      </w:r>
      <w:r w:rsidR="00551CE1" w:rsidRPr="00AD3320">
        <w:rPr>
          <w:rFonts w:ascii="Arial" w:hAnsi="Arial" w:cs="Arial"/>
          <w:shd w:val="clear" w:color="auto" w:fill="FFFFFF"/>
        </w:rPr>
        <w:t xml:space="preserve">in den Jahren 2012 und 2017 </w:t>
      </w:r>
      <w:r w:rsidRPr="00AD3320">
        <w:rPr>
          <w:rFonts w:ascii="Arial" w:hAnsi="Arial" w:cs="Arial"/>
          <w:shd w:val="clear" w:color="auto" w:fill="FFFFFF"/>
        </w:rPr>
        <w:t>berechnet (</w:t>
      </w:r>
      <w:r w:rsidR="00551CE1" w:rsidRPr="00AD3320">
        <w:rPr>
          <w:rFonts w:ascii="Arial" w:hAnsi="Arial" w:cs="Arial"/>
          <w:shd w:val="clear" w:color="auto" w:fill="FFFFFF"/>
        </w:rPr>
        <w:t xml:space="preserve">siehe unten: </w:t>
      </w:r>
      <w:r w:rsidRPr="00471AFE">
        <w:rPr>
          <w:rFonts w:ascii="Arial" w:hAnsi="Arial" w:cs="Arial"/>
          <w:i/>
          <w:shd w:val="clear" w:color="auto" w:fill="FFFFFF"/>
        </w:rPr>
        <w:t>Äquivalenzeinkommen</w:t>
      </w:r>
      <w:r w:rsidRPr="00AD3320">
        <w:rPr>
          <w:rFonts w:ascii="Arial" w:hAnsi="Arial" w:cs="Arial"/>
          <w:shd w:val="clear" w:color="auto" w:fill="FFFFFF"/>
        </w:rPr>
        <w:t xml:space="preserve">). Anschließend wurden die Einkommen der Höhe nach sortiert. Diese Reihung wurde dann </w:t>
      </w:r>
      <w:r w:rsidR="00671F9A" w:rsidRPr="00AD3320">
        <w:rPr>
          <w:rFonts w:ascii="Arial" w:hAnsi="Arial" w:cs="Arial"/>
          <w:shd w:val="clear" w:color="auto" w:fill="FFFFFF"/>
        </w:rPr>
        <w:t>in 10 gleich große Teile (Dezile) zerlegt.</w:t>
      </w:r>
      <w:r w:rsidR="00551CE1" w:rsidRPr="00AD3320">
        <w:rPr>
          <w:rFonts w:ascii="Arial" w:hAnsi="Arial" w:cs="Arial"/>
          <w:shd w:val="clear" w:color="auto" w:fill="FFFFFF"/>
        </w:rPr>
        <w:t xml:space="preserve"> Im untersten Zehntel (1. Dezil) </w:t>
      </w:r>
      <w:r w:rsidR="00A62815" w:rsidRPr="00AD3320">
        <w:rPr>
          <w:rFonts w:ascii="Arial" w:hAnsi="Arial" w:cs="Arial"/>
          <w:shd w:val="clear" w:color="auto" w:fill="FFFFFF"/>
        </w:rPr>
        <w:t xml:space="preserve">befinden sich </w:t>
      </w:r>
      <w:r w:rsidR="00551CE1" w:rsidRPr="00AD3320">
        <w:rPr>
          <w:rFonts w:ascii="Arial" w:hAnsi="Arial" w:cs="Arial"/>
          <w:shd w:val="clear" w:color="auto" w:fill="FFFFFF"/>
        </w:rPr>
        <w:t>die Erwachsenen, die 2012 bzw. 2017 die niedrigsten Einkommen hatten und im obersten Zehntel (10. Dezil) die Erwachsenen, die 2012 bzw. 2017 die höchsten Einkommen hatten.</w:t>
      </w:r>
    </w:p>
    <w:p w:rsidR="00551CE1" w:rsidRPr="00AD3320" w:rsidRDefault="00551CE1" w:rsidP="009C491E">
      <w:pPr>
        <w:autoSpaceDE w:val="0"/>
        <w:autoSpaceDN w:val="0"/>
        <w:adjustRightInd w:val="0"/>
        <w:rPr>
          <w:rFonts w:ascii="Arial" w:hAnsi="Arial" w:cs="Arial"/>
          <w:shd w:val="clear" w:color="auto" w:fill="FFFFFF"/>
        </w:rPr>
      </w:pPr>
    </w:p>
    <w:p w:rsidR="00F06220" w:rsidRDefault="00A62815" w:rsidP="009C491E">
      <w:pPr>
        <w:autoSpaceDE w:val="0"/>
        <w:autoSpaceDN w:val="0"/>
        <w:adjustRightInd w:val="0"/>
        <w:rPr>
          <w:rFonts w:ascii="Arial" w:hAnsi="Arial" w:cs="Arial"/>
          <w:shd w:val="clear" w:color="auto" w:fill="FFFFFF"/>
        </w:rPr>
      </w:pPr>
      <w:r w:rsidRPr="00AD3320">
        <w:rPr>
          <w:rFonts w:ascii="Arial" w:hAnsi="Arial" w:cs="Arial"/>
          <w:shd w:val="clear" w:color="auto" w:fill="FFFFFF"/>
        </w:rPr>
        <w:t xml:space="preserve">Generell </w:t>
      </w:r>
      <w:r w:rsidR="00551CE1" w:rsidRPr="00AD3320">
        <w:rPr>
          <w:rFonts w:ascii="Arial" w:hAnsi="Arial" w:cs="Arial"/>
          <w:shd w:val="clear" w:color="auto" w:fill="FFFFFF"/>
        </w:rPr>
        <w:t>ist</w:t>
      </w:r>
      <w:r w:rsidR="00AD3699" w:rsidRPr="00AD3320">
        <w:rPr>
          <w:rFonts w:ascii="Arial" w:hAnsi="Arial" w:cs="Arial"/>
          <w:shd w:val="clear" w:color="auto" w:fill="FFFFFF"/>
        </w:rPr>
        <w:t xml:space="preserve"> </w:t>
      </w:r>
      <w:r w:rsidR="00551CE1" w:rsidRPr="00AD3320">
        <w:rPr>
          <w:rFonts w:ascii="Arial" w:hAnsi="Arial" w:cs="Arial"/>
          <w:shd w:val="clear" w:color="auto" w:fill="FFFFFF"/>
        </w:rPr>
        <w:t xml:space="preserve">festzustellen, dass je höher das Durchschnittseinkommen der </w:t>
      </w:r>
      <w:r w:rsidR="00AD0D8C" w:rsidRPr="00AD3320">
        <w:rPr>
          <w:rFonts w:ascii="Arial" w:hAnsi="Arial" w:cs="Arial"/>
          <w:shd w:val="clear" w:color="auto" w:fill="FFFFFF"/>
        </w:rPr>
        <w:t xml:space="preserve">erwachsenen </w:t>
      </w:r>
      <w:r w:rsidR="00551CE1" w:rsidRPr="00AD3320">
        <w:rPr>
          <w:rFonts w:ascii="Arial" w:hAnsi="Arial" w:cs="Arial"/>
          <w:shd w:val="clear" w:color="auto" w:fill="FFFFFF"/>
        </w:rPr>
        <w:t>Personen in den einzelnen Zehntel</w:t>
      </w:r>
      <w:r w:rsidR="00A45A36" w:rsidRPr="00AD3320">
        <w:rPr>
          <w:rFonts w:ascii="Arial" w:hAnsi="Arial" w:cs="Arial"/>
          <w:shd w:val="clear" w:color="auto" w:fill="FFFFFF"/>
        </w:rPr>
        <w:t>n</w:t>
      </w:r>
      <w:r w:rsidR="00551CE1" w:rsidRPr="00AD3320">
        <w:rPr>
          <w:rFonts w:ascii="Arial" w:hAnsi="Arial" w:cs="Arial"/>
          <w:shd w:val="clear" w:color="auto" w:fill="FFFFFF"/>
        </w:rPr>
        <w:t xml:space="preserve"> ist, desto </w:t>
      </w:r>
      <w:r w:rsidR="00E26BB8" w:rsidRPr="00AD3320">
        <w:rPr>
          <w:rFonts w:ascii="Arial" w:hAnsi="Arial" w:cs="Arial"/>
          <w:shd w:val="clear" w:color="auto" w:fill="FFFFFF"/>
        </w:rPr>
        <w:t>höher ist auch das Nettovermögen.</w:t>
      </w:r>
      <w:r w:rsidR="00A45A36" w:rsidRPr="00AD3320">
        <w:rPr>
          <w:rFonts w:ascii="Arial" w:hAnsi="Arial" w:cs="Arial"/>
          <w:shd w:val="clear" w:color="auto" w:fill="FFFFFF"/>
        </w:rPr>
        <w:t xml:space="preserve"> Im Jahr 2017 hatten die einkommensschwächsten 10 Prozent der erwachsenen Bevölkerung </w:t>
      </w:r>
      <w:r w:rsidR="00AD3699" w:rsidRPr="00AD3320">
        <w:rPr>
          <w:rFonts w:ascii="Arial" w:hAnsi="Arial" w:cs="Arial"/>
          <w:shd w:val="clear" w:color="auto" w:fill="FFFFFF"/>
        </w:rPr>
        <w:t xml:space="preserve">(1. Dezil) </w:t>
      </w:r>
      <w:r w:rsidR="00A45A36" w:rsidRPr="00AD3320">
        <w:rPr>
          <w:rFonts w:ascii="Arial" w:hAnsi="Arial" w:cs="Arial"/>
          <w:shd w:val="clear" w:color="auto" w:fill="FFFFFF"/>
        </w:rPr>
        <w:t xml:space="preserve">ein durchschnittliches Nettovermögen von rund 23.100 Euro. Bei den Erwachsenen des nächsten Zehntels </w:t>
      </w:r>
      <w:r w:rsidR="00AD3699" w:rsidRPr="00AD3320">
        <w:rPr>
          <w:rFonts w:ascii="Arial" w:hAnsi="Arial" w:cs="Arial"/>
          <w:shd w:val="clear" w:color="auto" w:fill="FFFFFF"/>
        </w:rPr>
        <w:t xml:space="preserve">(2. Dezil) </w:t>
      </w:r>
      <w:r w:rsidR="00A45A36" w:rsidRPr="00AD3320">
        <w:rPr>
          <w:rFonts w:ascii="Arial" w:hAnsi="Arial" w:cs="Arial"/>
          <w:shd w:val="clear" w:color="auto" w:fill="FFFFFF"/>
        </w:rPr>
        <w:t xml:space="preserve">steigt das Vermögen auf rund 35.600 Euro. </w:t>
      </w:r>
      <w:r w:rsidR="00AD3699" w:rsidRPr="00AD3320">
        <w:rPr>
          <w:rFonts w:ascii="Arial" w:hAnsi="Arial" w:cs="Arial"/>
          <w:shd w:val="clear" w:color="auto" w:fill="FFFFFF"/>
        </w:rPr>
        <w:t xml:space="preserve">Auf der anderen Seite hatten die 10 Prozent der Erwachsenen mit den höchsten verfügbaren, gewichteten Einkommen (10. Dezil) </w:t>
      </w:r>
      <w:r w:rsidR="006D3940" w:rsidRPr="00AD3320">
        <w:rPr>
          <w:rFonts w:ascii="Arial" w:hAnsi="Arial" w:cs="Arial"/>
          <w:shd w:val="clear" w:color="auto" w:fill="FFFFFF"/>
        </w:rPr>
        <w:t xml:space="preserve">im Jahr 2017 </w:t>
      </w:r>
      <w:r w:rsidR="00AD3699" w:rsidRPr="00AD3320">
        <w:rPr>
          <w:rFonts w:ascii="Arial" w:hAnsi="Arial" w:cs="Arial"/>
          <w:shd w:val="clear" w:color="auto" w:fill="FFFFFF"/>
        </w:rPr>
        <w:t>ein durchschnittliches Vermögen von rund 335.7</w:t>
      </w:r>
      <w:r w:rsidR="006D3940" w:rsidRPr="00AD3320">
        <w:rPr>
          <w:rFonts w:ascii="Arial" w:hAnsi="Arial" w:cs="Arial"/>
          <w:shd w:val="clear" w:color="auto" w:fill="FFFFFF"/>
        </w:rPr>
        <w:t>0</w:t>
      </w:r>
      <w:r w:rsidR="00AD3699" w:rsidRPr="00AD3320">
        <w:rPr>
          <w:rFonts w:ascii="Arial" w:hAnsi="Arial" w:cs="Arial"/>
          <w:shd w:val="clear" w:color="auto" w:fill="FFFFFF"/>
        </w:rPr>
        <w:t xml:space="preserve">0 Euro. </w:t>
      </w:r>
      <w:r w:rsidR="006D3940" w:rsidRPr="00AD3320">
        <w:rPr>
          <w:rFonts w:ascii="Arial" w:hAnsi="Arial" w:cs="Arial"/>
          <w:shd w:val="clear" w:color="auto" w:fill="FFFFFF"/>
        </w:rPr>
        <w:t>Beim 9. Dezil waren es rund 145.400 Euro.</w:t>
      </w:r>
    </w:p>
    <w:p w:rsidR="009C491E" w:rsidRDefault="009C491E" w:rsidP="009C491E">
      <w:pPr>
        <w:autoSpaceDE w:val="0"/>
        <w:autoSpaceDN w:val="0"/>
        <w:adjustRightInd w:val="0"/>
        <w:rPr>
          <w:rFonts w:ascii="Arial" w:hAnsi="Arial" w:cs="Arial"/>
          <w:shd w:val="clear" w:color="auto" w:fill="FFFFFF"/>
        </w:rPr>
      </w:pPr>
    </w:p>
    <w:p w:rsidR="00A62815" w:rsidRPr="00AD3320" w:rsidRDefault="00AD0D8C" w:rsidP="009C491E">
      <w:pPr>
        <w:autoSpaceDE w:val="0"/>
        <w:autoSpaceDN w:val="0"/>
        <w:adjustRightInd w:val="0"/>
        <w:rPr>
          <w:rFonts w:ascii="Arial" w:hAnsi="Arial" w:cs="Arial"/>
          <w:shd w:val="clear" w:color="auto" w:fill="FFFFFF"/>
        </w:rPr>
      </w:pPr>
      <w:r w:rsidRPr="00AD3320">
        <w:rPr>
          <w:rFonts w:ascii="Arial" w:hAnsi="Arial" w:cs="Arial"/>
          <w:shd w:val="clear" w:color="auto" w:fill="FFFFFF"/>
        </w:rPr>
        <w:t>Bezogen auf die Erwachsenen, also alle Personen ab 17 Jahren, hatten die einkommensstärksten 10 Prozent (10. Dezil) einen Anteil von knapp einem Drittel am gesamten Nettovermögen (32,7 Prozent). Ein</w:t>
      </w:r>
      <w:r w:rsidR="00471AFE">
        <w:rPr>
          <w:rFonts w:ascii="Arial" w:hAnsi="Arial" w:cs="Arial"/>
          <w:shd w:val="clear" w:color="auto" w:fill="FFFFFF"/>
        </w:rPr>
        <w:t xml:space="preserve"> weiteres</w:t>
      </w:r>
      <w:r w:rsidRPr="00AD3320">
        <w:rPr>
          <w:rFonts w:ascii="Arial" w:hAnsi="Arial" w:cs="Arial"/>
          <w:shd w:val="clear" w:color="auto" w:fill="FFFFFF"/>
        </w:rPr>
        <w:t xml:space="preserve"> Viertel des Nettovermögens entfiel auf das 9. und 8. Dezil (14,2 bzw. 11,1 Prozent). </w:t>
      </w:r>
      <w:r w:rsidR="004A2CCD" w:rsidRPr="00AD3320">
        <w:rPr>
          <w:rFonts w:ascii="Arial" w:hAnsi="Arial" w:cs="Arial"/>
          <w:shd w:val="clear" w:color="auto" w:fill="FFFFFF"/>
        </w:rPr>
        <w:t>Hingegen hatte d</w:t>
      </w:r>
      <w:r w:rsidRPr="00AD3320">
        <w:rPr>
          <w:rFonts w:ascii="Arial" w:hAnsi="Arial" w:cs="Arial"/>
          <w:shd w:val="clear" w:color="auto" w:fill="FFFFFF"/>
        </w:rPr>
        <w:t>as</w:t>
      </w:r>
      <w:r w:rsidR="004A2CCD" w:rsidRPr="00AD3320">
        <w:rPr>
          <w:rFonts w:ascii="Arial" w:hAnsi="Arial" w:cs="Arial"/>
          <w:shd w:val="clear" w:color="auto" w:fill="FFFFFF"/>
        </w:rPr>
        <w:t xml:space="preserve"> e</w:t>
      </w:r>
      <w:r w:rsidRPr="00AD3320">
        <w:rPr>
          <w:rFonts w:ascii="Arial" w:hAnsi="Arial" w:cs="Arial"/>
          <w:shd w:val="clear" w:color="auto" w:fill="FFFFFF"/>
        </w:rPr>
        <w:t xml:space="preserve">inkommensschwächste Zehntel (1. Dezil) einen </w:t>
      </w:r>
      <w:r w:rsidR="004A2CCD" w:rsidRPr="00AD3320">
        <w:rPr>
          <w:rFonts w:ascii="Arial" w:hAnsi="Arial" w:cs="Arial"/>
          <w:shd w:val="clear" w:color="auto" w:fill="FFFFFF"/>
        </w:rPr>
        <w:t xml:space="preserve">Anteil </w:t>
      </w:r>
      <w:r w:rsidRPr="00AD3320">
        <w:rPr>
          <w:rFonts w:ascii="Arial" w:hAnsi="Arial" w:cs="Arial"/>
          <w:shd w:val="clear" w:color="auto" w:fill="FFFFFF"/>
        </w:rPr>
        <w:t xml:space="preserve">von </w:t>
      </w:r>
      <w:r w:rsidR="004A2CCD" w:rsidRPr="00AD3320">
        <w:rPr>
          <w:rFonts w:ascii="Arial" w:hAnsi="Arial" w:cs="Arial"/>
          <w:shd w:val="clear" w:color="auto" w:fill="FFFFFF"/>
        </w:rPr>
        <w:t xml:space="preserve">nur </w:t>
      </w:r>
      <w:r w:rsidRPr="00AD3320">
        <w:rPr>
          <w:rFonts w:ascii="Arial" w:hAnsi="Arial" w:cs="Arial"/>
          <w:shd w:val="clear" w:color="auto" w:fill="FFFFFF"/>
        </w:rPr>
        <w:t xml:space="preserve">2,2 Prozent am gesamten Nettovermögen der erwachsenen Bevölkerung. </w:t>
      </w:r>
      <w:r w:rsidR="004A2CCD" w:rsidRPr="00AD3320">
        <w:rPr>
          <w:rFonts w:ascii="Arial" w:hAnsi="Arial" w:cs="Arial"/>
          <w:shd w:val="clear" w:color="auto" w:fill="FFFFFF"/>
        </w:rPr>
        <w:t>Selbst b</w:t>
      </w:r>
      <w:r w:rsidRPr="00AD3320">
        <w:rPr>
          <w:rFonts w:ascii="Arial" w:hAnsi="Arial" w:cs="Arial"/>
          <w:shd w:val="clear" w:color="auto" w:fill="FFFFFF"/>
        </w:rPr>
        <w:t xml:space="preserve">ei den einkommensschwächsten 30 Prozent der Erwachsenen lag der Anteil bei </w:t>
      </w:r>
      <w:r w:rsidR="004A2CCD" w:rsidRPr="00AD3320">
        <w:rPr>
          <w:rFonts w:ascii="Arial" w:hAnsi="Arial" w:cs="Arial"/>
          <w:shd w:val="clear" w:color="auto" w:fill="FFFFFF"/>
        </w:rPr>
        <w:t xml:space="preserve">lediglich </w:t>
      </w:r>
      <w:r w:rsidRPr="00AD3320">
        <w:rPr>
          <w:rFonts w:ascii="Arial" w:hAnsi="Arial" w:cs="Arial"/>
          <w:shd w:val="clear" w:color="auto" w:fill="FFFFFF"/>
        </w:rPr>
        <w:t>10,0 Prozent.</w:t>
      </w:r>
    </w:p>
    <w:p w:rsidR="00E26BB8" w:rsidRPr="00AD3320" w:rsidRDefault="00E26BB8" w:rsidP="009C491E">
      <w:pPr>
        <w:autoSpaceDE w:val="0"/>
        <w:autoSpaceDN w:val="0"/>
        <w:adjustRightInd w:val="0"/>
        <w:rPr>
          <w:rFonts w:ascii="Arial" w:hAnsi="Arial" w:cs="Arial"/>
          <w:shd w:val="clear" w:color="auto" w:fill="FFFFFF"/>
        </w:rPr>
      </w:pPr>
    </w:p>
    <w:p w:rsidR="00124008" w:rsidRPr="00AD3320" w:rsidRDefault="00F4256B" w:rsidP="009C491E">
      <w:pPr>
        <w:autoSpaceDE w:val="0"/>
        <w:autoSpaceDN w:val="0"/>
        <w:adjustRightInd w:val="0"/>
        <w:rPr>
          <w:rFonts w:ascii="Arial" w:hAnsi="Arial" w:cs="Arial"/>
          <w:shd w:val="clear" w:color="auto" w:fill="FFFFFF"/>
        </w:rPr>
      </w:pPr>
      <w:r>
        <w:rPr>
          <w:rFonts w:ascii="Arial" w:hAnsi="Arial" w:cs="Arial"/>
          <w:shd w:val="clear" w:color="auto" w:fill="FFFFFF"/>
        </w:rPr>
        <w:t>Ein Faktor</w:t>
      </w:r>
      <w:r w:rsidR="00124008" w:rsidRPr="00AD3320">
        <w:rPr>
          <w:rFonts w:ascii="Arial" w:hAnsi="Arial" w:cs="Arial"/>
          <w:shd w:val="clear" w:color="auto" w:fill="FFFFFF"/>
        </w:rPr>
        <w:t xml:space="preserve">, der die Beziehung zwischen Einkommen und Vermögen stark beeinflusst, ist das Sparverhalten </w:t>
      </w:r>
      <w:r w:rsidR="00471AFE">
        <w:rPr>
          <w:rFonts w:ascii="Arial" w:hAnsi="Arial" w:cs="Arial"/>
          <w:shd w:val="clear" w:color="auto" w:fill="FFFFFF"/>
        </w:rPr>
        <w:t xml:space="preserve">bzw. die Sparmöglichkeit </w:t>
      </w:r>
      <w:r w:rsidR="00124008" w:rsidRPr="00AD3320">
        <w:rPr>
          <w:rFonts w:ascii="Arial" w:hAnsi="Arial" w:cs="Arial"/>
          <w:shd w:val="clear" w:color="auto" w:fill="FFFFFF"/>
        </w:rPr>
        <w:t xml:space="preserve">der einzelnen Einkommensgruppen. </w:t>
      </w:r>
      <w:r w:rsidR="00094731" w:rsidRPr="00AD3320">
        <w:rPr>
          <w:rFonts w:ascii="Arial" w:hAnsi="Arial" w:cs="Arial"/>
          <w:shd w:val="clear" w:color="auto" w:fill="FFFFFF"/>
        </w:rPr>
        <w:t xml:space="preserve">Frühere Untersuchungen zum Sparverhalten nach Einkommen zeigen einen eindeutigen Zusammenhang: </w:t>
      </w:r>
      <w:r w:rsidR="00124008" w:rsidRPr="00AD3320">
        <w:rPr>
          <w:rFonts w:ascii="Arial" w:hAnsi="Arial" w:cs="Arial"/>
          <w:shd w:val="clear" w:color="auto" w:fill="FFFFFF"/>
        </w:rPr>
        <w:t xml:space="preserve">Je höher die Haushalte in der Einkommensskala rangieren, desto höher ist der Anteil </w:t>
      </w:r>
      <w:r w:rsidR="00AD3320">
        <w:rPr>
          <w:rFonts w:ascii="Arial" w:hAnsi="Arial" w:cs="Arial"/>
          <w:shd w:val="clear" w:color="auto" w:fill="FFFFFF"/>
        </w:rPr>
        <w:t>der Haushalte</w:t>
      </w:r>
      <w:r w:rsidR="00124008" w:rsidRPr="00AD3320">
        <w:rPr>
          <w:rFonts w:ascii="Arial" w:hAnsi="Arial" w:cs="Arial"/>
          <w:shd w:val="clear" w:color="auto" w:fill="FFFFFF"/>
        </w:rPr>
        <w:t>, die regelmäßig sparen, und desto höher ist auch der Anteil vom Einkommen, der gespart wird.</w:t>
      </w:r>
    </w:p>
    <w:p w:rsidR="00AD3320" w:rsidRDefault="00AD3320" w:rsidP="009C491E">
      <w:pPr>
        <w:autoSpaceDE w:val="0"/>
        <w:autoSpaceDN w:val="0"/>
        <w:adjustRightInd w:val="0"/>
        <w:rPr>
          <w:rFonts w:ascii="Arial" w:hAnsi="Arial" w:cs="Arial"/>
          <w:shd w:val="clear" w:color="auto" w:fill="FFFFFF"/>
        </w:rPr>
      </w:pPr>
    </w:p>
    <w:p w:rsidR="00EB7586" w:rsidRDefault="001F42B5" w:rsidP="00EB7586">
      <w:pPr>
        <w:autoSpaceDE w:val="0"/>
        <w:autoSpaceDN w:val="0"/>
        <w:adjustRightInd w:val="0"/>
        <w:rPr>
          <w:rFonts w:ascii="Arial" w:hAnsi="Arial" w:cs="Arial"/>
          <w:shd w:val="clear" w:color="auto" w:fill="FFFFFF"/>
        </w:rPr>
      </w:pPr>
      <w:r>
        <w:rPr>
          <w:rFonts w:ascii="Arial" w:hAnsi="Arial" w:cs="Arial"/>
          <w:shd w:val="clear" w:color="auto" w:fill="FFFFFF"/>
        </w:rPr>
        <w:t xml:space="preserve">Beispielsweise </w:t>
      </w:r>
      <w:r w:rsidR="00B46B5F">
        <w:rPr>
          <w:rFonts w:ascii="Arial" w:hAnsi="Arial" w:cs="Arial"/>
          <w:shd w:val="clear" w:color="auto" w:fill="FFFFFF"/>
        </w:rPr>
        <w:t>lag</w:t>
      </w:r>
      <w:r w:rsidR="00766F53">
        <w:rPr>
          <w:rFonts w:ascii="Arial" w:hAnsi="Arial" w:cs="Arial"/>
          <w:shd w:val="clear" w:color="auto" w:fill="FFFFFF"/>
        </w:rPr>
        <w:t xml:space="preserve"> </w:t>
      </w:r>
      <w:r w:rsidR="00471AFE">
        <w:rPr>
          <w:rFonts w:ascii="Arial" w:hAnsi="Arial" w:cs="Arial"/>
          <w:shd w:val="clear" w:color="auto" w:fill="FFFFFF"/>
        </w:rPr>
        <w:t xml:space="preserve">nach </w:t>
      </w:r>
      <w:r w:rsidR="00766F53">
        <w:rPr>
          <w:rFonts w:ascii="Arial" w:hAnsi="Arial" w:cs="Arial"/>
          <w:shd w:val="clear" w:color="auto" w:fill="FFFFFF"/>
        </w:rPr>
        <w:t>den Daten der Einkommens- und Verbraucherstichprobe</w:t>
      </w:r>
      <w:r w:rsidR="00B46B5F">
        <w:rPr>
          <w:rFonts w:ascii="Arial" w:hAnsi="Arial" w:cs="Arial"/>
          <w:shd w:val="clear" w:color="auto" w:fill="FFFFFF"/>
        </w:rPr>
        <w:t xml:space="preserve"> </w:t>
      </w:r>
      <w:r w:rsidR="00F86BB9">
        <w:rPr>
          <w:rFonts w:ascii="Arial" w:hAnsi="Arial" w:cs="Arial"/>
          <w:shd w:val="clear" w:color="auto" w:fill="FFFFFF"/>
        </w:rPr>
        <w:t xml:space="preserve">(EVS) </w:t>
      </w:r>
      <w:r w:rsidR="00766F53">
        <w:rPr>
          <w:rFonts w:ascii="Arial" w:hAnsi="Arial" w:cs="Arial"/>
          <w:shd w:val="clear" w:color="auto" w:fill="FFFFFF"/>
        </w:rPr>
        <w:t>bei den Haushalten in Deutschland die S</w:t>
      </w:r>
      <w:r w:rsidR="00766F53" w:rsidRPr="001F42B5">
        <w:rPr>
          <w:rFonts w:ascii="Arial" w:hAnsi="Arial" w:cs="Arial"/>
          <w:shd w:val="clear" w:color="auto" w:fill="FFFFFF"/>
        </w:rPr>
        <w:t xml:space="preserve">parquote </w:t>
      </w:r>
      <w:r w:rsidR="00766F53">
        <w:rPr>
          <w:rFonts w:ascii="Arial" w:hAnsi="Arial" w:cs="Arial"/>
          <w:shd w:val="clear" w:color="auto" w:fill="FFFFFF"/>
        </w:rPr>
        <w:t xml:space="preserve">– also der </w:t>
      </w:r>
      <w:r w:rsidR="00766F53" w:rsidRPr="001F42B5">
        <w:rPr>
          <w:rFonts w:ascii="Arial" w:hAnsi="Arial" w:cs="Arial"/>
          <w:shd w:val="clear" w:color="auto" w:fill="FFFFFF"/>
        </w:rPr>
        <w:t>Anteil der Ersparnisse</w:t>
      </w:r>
      <w:r w:rsidR="00766F53">
        <w:rPr>
          <w:rFonts w:ascii="Arial" w:hAnsi="Arial" w:cs="Arial"/>
          <w:shd w:val="clear" w:color="auto" w:fill="FFFFFF"/>
        </w:rPr>
        <w:t xml:space="preserve"> </w:t>
      </w:r>
      <w:r w:rsidR="00766F53" w:rsidRPr="001F42B5">
        <w:rPr>
          <w:rFonts w:ascii="Arial" w:hAnsi="Arial" w:cs="Arial"/>
          <w:shd w:val="clear" w:color="auto" w:fill="FFFFFF"/>
        </w:rPr>
        <w:t>am</w:t>
      </w:r>
      <w:r w:rsidR="00766F53">
        <w:rPr>
          <w:rFonts w:ascii="Arial" w:hAnsi="Arial" w:cs="Arial"/>
          <w:shd w:val="clear" w:color="auto" w:fill="FFFFFF"/>
        </w:rPr>
        <w:t xml:space="preserve"> N</w:t>
      </w:r>
      <w:r w:rsidR="00766F53" w:rsidRPr="001F42B5">
        <w:rPr>
          <w:rFonts w:ascii="Arial" w:hAnsi="Arial" w:cs="Arial"/>
          <w:shd w:val="clear" w:color="auto" w:fill="FFFFFF"/>
        </w:rPr>
        <w:t>ettoeinkommen</w:t>
      </w:r>
      <w:r w:rsidR="00766F53">
        <w:rPr>
          <w:rFonts w:ascii="Arial" w:hAnsi="Arial" w:cs="Arial"/>
          <w:shd w:val="clear" w:color="auto" w:fill="FFFFFF"/>
        </w:rPr>
        <w:t xml:space="preserve"> – im Jahr 2013 bei durchschnittlich 17,5 Prozent. </w:t>
      </w:r>
      <w:r w:rsidR="00766F53">
        <w:rPr>
          <w:rFonts w:ascii="Arial" w:hAnsi="Arial" w:cs="Arial"/>
          <w:shd w:val="clear" w:color="auto" w:fill="FFFFFF"/>
        </w:rPr>
        <w:lastRenderedPageBreak/>
        <w:t>Im einkommensstärksten Zehntel (10. Dezil) lag die Quote jedoch bei 37,5 Prozent</w:t>
      </w:r>
      <w:r w:rsidR="00F86BB9">
        <w:rPr>
          <w:rFonts w:ascii="Arial" w:hAnsi="Arial" w:cs="Arial"/>
          <w:shd w:val="clear" w:color="auto" w:fill="FFFFFF"/>
        </w:rPr>
        <w:t xml:space="preserve"> – was im Dur</w:t>
      </w:r>
      <w:r w:rsidR="00591AFF">
        <w:rPr>
          <w:rFonts w:ascii="Arial" w:hAnsi="Arial" w:cs="Arial"/>
          <w:shd w:val="clear" w:color="auto" w:fill="FFFFFF"/>
        </w:rPr>
        <w:t>ch</w:t>
      </w:r>
      <w:r w:rsidR="00F86BB9">
        <w:rPr>
          <w:rFonts w:ascii="Arial" w:hAnsi="Arial" w:cs="Arial"/>
          <w:shd w:val="clear" w:color="auto" w:fill="FFFFFF"/>
        </w:rPr>
        <w:t xml:space="preserve">schnitt einer Ersparnis von 2.687 Euro </w:t>
      </w:r>
      <w:r w:rsidR="00591AFF">
        <w:rPr>
          <w:rFonts w:ascii="Arial" w:hAnsi="Arial" w:cs="Arial"/>
          <w:shd w:val="clear" w:color="auto" w:fill="FFFFFF"/>
        </w:rPr>
        <w:t xml:space="preserve">pro Monat </w:t>
      </w:r>
      <w:r w:rsidR="00F86BB9">
        <w:rPr>
          <w:rFonts w:ascii="Arial" w:hAnsi="Arial" w:cs="Arial"/>
          <w:shd w:val="clear" w:color="auto" w:fill="FFFFFF"/>
        </w:rPr>
        <w:t>entsprach</w:t>
      </w:r>
      <w:r w:rsidR="00766F53">
        <w:rPr>
          <w:rFonts w:ascii="Arial" w:hAnsi="Arial" w:cs="Arial"/>
          <w:shd w:val="clear" w:color="auto" w:fill="FFFFFF"/>
        </w:rPr>
        <w:t xml:space="preserve">. Im 9. Dezil </w:t>
      </w:r>
      <w:r w:rsidR="00F86BB9">
        <w:rPr>
          <w:rFonts w:ascii="Arial" w:hAnsi="Arial" w:cs="Arial"/>
          <w:shd w:val="clear" w:color="auto" w:fill="FFFFFF"/>
        </w:rPr>
        <w:t xml:space="preserve">lag die Sparquote </w:t>
      </w:r>
      <w:r w:rsidR="00766F53">
        <w:rPr>
          <w:rFonts w:ascii="Arial" w:hAnsi="Arial" w:cs="Arial"/>
          <w:shd w:val="clear" w:color="auto" w:fill="FFFFFF"/>
        </w:rPr>
        <w:t>bei 23,6 Prozent</w:t>
      </w:r>
      <w:r w:rsidR="00F86BB9">
        <w:rPr>
          <w:rFonts w:ascii="Arial" w:hAnsi="Arial" w:cs="Arial"/>
          <w:shd w:val="clear" w:color="auto" w:fill="FFFFFF"/>
        </w:rPr>
        <w:t xml:space="preserve"> </w:t>
      </w:r>
      <w:r w:rsidR="00591AFF">
        <w:rPr>
          <w:rFonts w:ascii="Arial" w:hAnsi="Arial" w:cs="Arial"/>
          <w:shd w:val="clear" w:color="auto" w:fill="FFFFFF"/>
        </w:rPr>
        <w:t xml:space="preserve">und die durchschnittliche Ersparnis bei </w:t>
      </w:r>
      <w:r w:rsidR="00F86BB9">
        <w:rPr>
          <w:rFonts w:ascii="Arial" w:hAnsi="Arial" w:cs="Arial"/>
          <w:shd w:val="clear" w:color="auto" w:fill="FFFFFF"/>
        </w:rPr>
        <w:t>1.069 Euro</w:t>
      </w:r>
      <w:r w:rsidR="00591AFF">
        <w:rPr>
          <w:rFonts w:ascii="Arial" w:hAnsi="Arial" w:cs="Arial"/>
          <w:shd w:val="clear" w:color="auto" w:fill="FFFFFF"/>
        </w:rPr>
        <w:t xml:space="preserve"> pro Monat</w:t>
      </w:r>
      <w:r w:rsidR="00766F53">
        <w:rPr>
          <w:rFonts w:ascii="Arial" w:hAnsi="Arial" w:cs="Arial"/>
          <w:shd w:val="clear" w:color="auto" w:fill="FFFFFF"/>
        </w:rPr>
        <w:t xml:space="preserve">. </w:t>
      </w:r>
      <w:r w:rsidR="00591AFF">
        <w:rPr>
          <w:rFonts w:ascii="Arial" w:hAnsi="Arial" w:cs="Arial"/>
          <w:shd w:val="clear" w:color="auto" w:fill="FFFFFF"/>
        </w:rPr>
        <w:t>Hingegen haben sich im untersten Einkommens</w:t>
      </w:r>
      <w:r w:rsidR="00D37663">
        <w:rPr>
          <w:rFonts w:ascii="Arial" w:hAnsi="Arial" w:cs="Arial"/>
          <w:shd w:val="clear" w:color="auto" w:fill="FFFFFF"/>
        </w:rPr>
        <w:t>zehntel</w:t>
      </w:r>
      <w:r w:rsidR="00591AFF">
        <w:rPr>
          <w:rFonts w:ascii="Arial" w:hAnsi="Arial" w:cs="Arial"/>
          <w:shd w:val="clear" w:color="auto" w:fill="FFFFFF"/>
        </w:rPr>
        <w:t xml:space="preserve"> 59 Prozent der Haushalte </w:t>
      </w:r>
      <w:r w:rsidR="00EB7586">
        <w:rPr>
          <w:rFonts w:ascii="Arial" w:hAnsi="Arial" w:cs="Arial"/>
          <w:shd w:val="clear" w:color="auto" w:fill="FFFFFF"/>
        </w:rPr>
        <w:t xml:space="preserve">im </w:t>
      </w:r>
      <w:r w:rsidR="00591AFF">
        <w:rPr>
          <w:rFonts w:ascii="Arial" w:hAnsi="Arial" w:cs="Arial"/>
          <w:shd w:val="clear" w:color="auto" w:fill="FFFFFF"/>
        </w:rPr>
        <w:t>Jahr 2013 verschuldet.</w:t>
      </w:r>
      <w:r w:rsidR="00D37663">
        <w:rPr>
          <w:rFonts w:ascii="Arial" w:hAnsi="Arial" w:cs="Arial"/>
          <w:shd w:val="clear" w:color="auto" w:fill="FFFFFF"/>
        </w:rPr>
        <w:t xml:space="preserve"> Im Durchschnitt lag die Verschuldung bei</w:t>
      </w:r>
      <w:r w:rsidR="00EB7586">
        <w:rPr>
          <w:rFonts w:ascii="Arial" w:hAnsi="Arial" w:cs="Arial"/>
          <w:shd w:val="clear" w:color="auto" w:fill="FFFFFF"/>
        </w:rPr>
        <w:t xml:space="preserve"> dieser Einkommensgruppe bei </w:t>
      </w:r>
      <w:r w:rsidR="00D37663">
        <w:rPr>
          <w:rFonts w:ascii="Arial" w:hAnsi="Arial" w:cs="Arial"/>
          <w:shd w:val="clear" w:color="auto" w:fill="FFFFFF"/>
        </w:rPr>
        <w:t xml:space="preserve">201 Euro pro Monat, wobei sich </w:t>
      </w:r>
      <w:r w:rsidR="00D37663" w:rsidRPr="00D37663">
        <w:rPr>
          <w:rFonts w:ascii="Arial" w:hAnsi="Arial" w:cs="Arial"/>
          <w:shd w:val="clear" w:color="auto" w:fill="FFFFFF"/>
        </w:rPr>
        <w:t>einige Haushalte sehr stark verschulde</w:t>
      </w:r>
      <w:r w:rsidR="00471AFE">
        <w:rPr>
          <w:rFonts w:ascii="Arial" w:hAnsi="Arial" w:cs="Arial"/>
          <w:shd w:val="clear" w:color="auto" w:fill="FFFFFF"/>
        </w:rPr>
        <w:t>te</w:t>
      </w:r>
      <w:r w:rsidR="00D37663" w:rsidRPr="00D37663">
        <w:rPr>
          <w:rFonts w:ascii="Arial" w:hAnsi="Arial" w:cs="Arial"/>
          <w:shd w:val="clear" w:color="auto" w:fill="FFFFFF"/>
        </w:rPr>
        <w:t>n</w:t>
      </w:r>
      <w:r w:rsidR="00471AFE">
        <w:rPr>
          <w:rFonts w:ascii="Arial" w:hAnsi="Arial" w:cs="Arial"/>
          <w:shd w:val="clear" w:color="auto" w:fill="FFFFFF"/>
        </w:rPr>
        <w:t xml:space="preserve">, </w:t>
      </w:r>
      <w:r w:rsidR="00D37663" w:rsidRPr="00D37663">
        <w:rPr>
          <w:rFonts w:ascii="Arial" w:hAnsi="Arial" w:cs="Arial"/>
          <w:shd w:val="clear" w:color="auto" w:fill="FFFFFF"/>
        </w:rPr>
        <w:t xml:space="preserve">viele andere </w:t>
      </w:r>
      <w:r w:rsidR="00471AFE">
        <w:rPr>
          <w:rFonts w:ascii="Arial" w:hAnsi="Arial" w:cs="Arial"/>
          <w:shd w:val="clear" w:color="auto" w:fill="FFFFFF"/>
        </w:rPr>
        <w:t xml:space="preserve">nur </w:t>
      </w:r>
      <w:r w:rsidR="00D37663" w:rsidRPr="00D37663">
        <w:rPr>
          <w:rFonts w:ascii="Arial" w:hAnsi="Arial" w:cs="Arial"/>
          <w:shd w:val="clear" w:color="auto" w:fill="FFFFFF"/>
        </w:rPr>
        <w:t>in geringem Ausmaß</w:t>
      </w:r>
      <w:r w:rsidR="00471AFE">
        <w:rPr>
          <w:rFonts w:ascii="Arial" w:hAnsi="Arial" w:cs="Arial"/>
          <w:shd w:val="clear" w:color="auto" w:fill="FFFFFF"/>
        </w:rPr>
        <w:t xml:space="preserve"> und 41 Prozent des untersten Einkommenszehntels gar nicht</w:t>
      </w:r>
      <w:r w:rsidR="00D37663" w:rsidRPr="00D37663">
        <w:rPr>
          <w:rFonts w:ascii="Arial" w:hAnsi="Arial" w:cs="Arial"/>
          <w:shd w:val="clear" w:color="auto" w:fill="FFFFFF"/>
        </w:rPr>
        <w:t>.</w:t>
      </w:r>
    </w:p>
    <w:p w:rsidR="00EB7586" w:rsidRDefault="00EB7586" w:rsidP="00EB7586">
      <w:pPr>
        <w:autoSpaceDE w:val="0"/>
        <w:autoSpaceDN w:val="0"/>
        <w:adjustRightInd w:val="0"/>
        <w:rPr>
          <w:rFonts w:ascii="Arial" w:hAnsi="Arial" w:cs="Arial"/>
          <w:shd w:val="clear" w:color="auto" w:fill="FFFFFF"/>
        </w:rPr>
      </w:pPr>
    </w:p>
    <w:p w:rsidR="001F42B5" w:rsidRPr="00050BA3" w:rsidRDefault="00BA29FE" w:rsidP="00EB7586">
      <w:pPr>
        <w:autoSpaceDE w:val="0"/>
        <w:autoSpaceDN w:val="0"/>
        <w:adjustRightInd w:val="0"/>
        <w:rPr>
          <w:rFonts w:ascii="Arial" w:hAnsi="Arial" w:cs="Arial"/>
          <w:shd w:val="clear" w:color="auto" w:fill="FFFFFF"/>
        </w:rPr>
      </w:pPr>
      <w:r>
        <w:rPr>
          <w:rFonts w:ascii="Arial" w:hAnsi="Arial" w:cs="Arial"/>
          <w:shd w:val="clear" w:color="auto" w:fill="FFFFFF"/>
        </w:rPr>
        <w:t xml:space="preserve">Laut einer vom Finanzdienstleister ING beauftragten Studie </w:t>
      </w:r>
      <w:r w:rsidR="00F86BB9">
        <w:rPr>
          <w:rFonts w:ascii="Arial" w:hAnsi="Arial" w:cs="Arial"/>
          <w:shd w:val="clear" w:color="auto" w:fill="FFFFFF"/>
        </w:rPr>
        <w:t xml:space="preserve">gab Ende 2018 ein Drittel der </w:t>
      </w:r>
      <w:r w:rsidR="00766F53">
        <w:rPr>
          <w:rFonts w:ascii="Arial" w:hAnsi="Arial" w:cs="Arial"/>
          <w:shd w:val="clear" w:color="auto" w:fill="FFFFFF"/>
        </w:rPr>
        <w:t xml:space="preserve">in Deutschland </w:t>
      </w:r>
      <w:r w:rsidR="00F86BB9">
        <w:rPr>
          <w:rFonts w:ascii="Arial" w:hAnsi="Arial" w:cs="Arial"/>
          <w:shd w:val="clear" w:color="auto" w:fill="FFFFFF"/>
        </w:rPr>
        <w:t xml:space="preserve">Befragten an, dass ihr Haushalt über keinerlei Ersparnisse verfügt. Nach Angaben der EVS </w:t>
      </w:r>
      <w:r w:rsidR="00EB7586">
        <w:rPr>
          <w:rFonts w:ascii="Arial" w:hAnsi="Arial" w:cs="Arial"/>
          <w:shd w:val="clear" w:color="auto" w:fill="FFFFFF"/>
        </w:rPr>
        <w:t xml:space="preserve">konnten im Jahr 2013 </w:t>
      </w:r>
      <w:r w:rsidR="00F86BB9">
        <w:rPr>
          <w:rFonts w:ascii="Arial" w:hAnsi="Arial" w:cs="Arial"/>
          <w:shd w:val="clear" w:color="auto" w:fill="FFFFFF"/>
        </w:rPr>
        <w:t xml:space="preserve">beim einkommensstärksten Zehntel 77 Prozent der Haushalte </w:t>
      </w:r>
      <w:r w:rsidR="00EB7586">
        <w:rPr>
          <w:rFonts w:ascii="Arial" w:hAnsi="Arial" w:cs="Arial"/>
          <w:shd w:val="clear" w:color="auto" w:fill="FFFFFF"/>
        </w:rPr>
        <w:t>mindestens ein Fünftel ihres Nettoeinkommens s</w:t>
      </w:r>
      <w:r w:rsidR="00F86BB9">
        <w:rPr>
          <w:rFonts w:ascii="Arial" w:hAnsi="Arial" w:cs="Arial"/>
          <w:shd w:val="clear" w:color="auto" w:fill="FFFFFF"/>
        </w:rPr>
        <w:t>par</w:t>
      </w:r>
      <w:r w:rsidR="00EB7586">
        <w:rPr>
          <w:rFonts w:ascii="Arial" w:hAnsi="Arial" w:cs="Arial"/>
          <w:shd w:val="clear" w:color="auto" w:fill="FFFFFF"/>
        </w:rPr>
        <w:t>en</w:t>
      </w:r>
      <w:r w:rsidR="00F86BB9">
        <w:rPr>
          <w:rFonts w:ascii="Arial" w:hAnsi="Arial" w:cs="Arial"/>
          <w:shd w:val="clear" w:color="auto" w:fill="FFFFFF"/>
        </w:rPr>
        <w:t>. Beim einkommensschwächsten Zehntel erreichten lediglich 11 Prozent der Haushalte diese Sparquote.</w:t>
      </w:r>
    </w:p>
    <w:p w:rsidR="00B46B5F" w:rsidRPr="009C491E" w:rsidRDefault="00B46B5F" w:rsidP="009C491E">
      <w:pPr>
        <w:autoSpaceDE w:val="0"/>
        <w:autoSpaceDN w:val="0"/>
        <w:adjustRightInd w:val="0"/>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050BA3" w:rsidRDefault="00130C1E" w:rsidP="009C491E">
      <w:pPr>
        <w:autoSpaceDE w:val="0"/>
        <w:autoSpaceDN w:val="0"/>
        <w:adjustRightInd w:val="0"/>
        <w:rPr>
          <w:rFonts w:ascii="Arial" w:hAnsi="Arial" w:cs="Arial"/>
          <w:shd w:val="clear" w:color="auto" w:fill="FFFFFF"/>
        </w:rPr>
      </w:pPr>
    </w:p>
    <w:p w:rsidR="0069421D" w:rsidRPr="00BA29FE" w:rsidRDefault="0069421D" w:rsidP="009C491E">
      <w:pPr>
        <w:autoSpaceDE w:val="0"/>
        <w:autoSpaceDN w:val="0"/>
        <w:adjustRightInd w:val="0"/>
        <w:rPr>
          <w:rFonts w:ascii="Arial" w:hAnsi="Arial" w:cs="Arial"/>
          <w:shd w:val="clear" w:color="auto" w:fill="FFFFFF"/>
        </w:rPr>
      </w:pPr>
      <w:r w:rsidRPr="00050BA3">
        <w:rPr>
          <w:rFonts w:ascii="Arial" w:hAnsi="Arial" w:cs="Arial"/>
          <w:shd w:val="clear" w:color="auto" w:fill="FFFFFF"/>
        </w:rPr>
        <w:t>SOEPv34</w:t>
      </w:r>
      <w:r w:rsidR="00AD3320">
        <w:rPr>
          <w:rFonts w:ascii="Arial" w:hAnsi="Arial" w:cs="Arial"/>
          <w:shd w:val="clear" w:color="auto" w:fill="FFFFFF"/>
        </w:rPr>
        <w:t xml:space="preserve">, </w:t>
      </w:r>
      <w:r w:rsidR="00AD3320" w:rsidRPr="00AD3320">
        <w:rPr>
          <w:rFonts w:ascii="Arial" w:hAnsi="Arial" w:cs="Arial"/>
          <w:shd w:val="clear" w:color="auto" w:fill="FFFFFF"/>
        </w:rPr>
        <w:t>SOEPv28</w:t>
      </w:r>
      <w:r w:rsidR="00D8365C">
        <w:rPr>
          <w:rFonts w:ascii="Arial" w:hAnsi="Arial" w:cs="Arial"/>
          <w:shd w:val="clear" w:color="auto" w:fill="FFFFFF"/>
        </w:rPr>
        <w:t>;</w:t>
      </w:r>
      <w:r w:rsidR="00AD3320" w:rsidRPr="00AD3320">
        <w:rPr>
          <w:rFonts w:ascii="Arial" w:hAnsi="Arial" w:cs="Arial"/>
          <w:shd w:val="clear" w:color="auto" w:fill="FFFFFF"/>
        </w:rPr>
        <w:t xml:space="preserve"> DIW Wochenbericht</w:t>
      </w:r>
      <w:r w:rsidR="00AD3320">
        <w:rPr>
          <w:rFonts w:ascii="Arial" w:hAnsi="Arial" w:cs="Arial"/>
          <w:shd w:val="clear" w:color="auto" w:fill="FFFFFF"/>
        </w:rPr>
        <w:t xml:space="preserve"> Nr. 10/2018: Konsum- und Sparverhalten der privaten Haushalte</w:t>
      </w:r>
      <w:r w:rsidR="00BA29FE">
        <w:rPr>
          <w:rFonts w:ascii="Arial" w:hAnsi="Arial" w:cs="Arial"/>
          <w:shd w:val="clear" w:color="auto" w:fill="FFFFFF"/>
        </w:rPr>
        <w:t xml:space="preserve">; </w:t>
      </w:r>
      <w:r w:rsidR="00BA29FE" w:rsidRPr="00BA29FE">
        <w:rPr>
          <w:rFonts w:ascii="Arial" w:hAnsi="Arial" w:cs="Arial"/>
          <w:shd w:val="clear" w:color="auto" w:fill="FFFFFF"/>
        </w:rPr>
        <w:t xml:space="preserve">ING International Survey 02/2019: </w:t>
      </w:r>
      <w:proofErr w:type="spellStart"/>
      <w:r w:rsidR="00BA29FE" w:rsidRPr="00BA29FE">
        <w:rPr>
          <w:rFonts w:ascii="Arial" w:hAnsi="Arial" w:cs="Arial"/>
          <w:shd w:val="clear" w:color="auto" w:fill="FFFFFF"/>
        </w:rPr>
        <w:t>Saving</w:t>
      </w:r>
      <w:proofErr w:type="spellEnd"/>
      <w:r w:rsidR="00BA29FE" w:rsidRPr="00BA29FE">
        <w:rPr>
          <w:rFonts w:ascii="Arial" w:hAnsi="Arial" w:cs="Arial"/>
          <w:shd w:val="clear" w:color="auto" w:fill="FFFFFF"/>
        </w:rPr>
        <w:t xml:space="preserve"> </w:t>
      </w:r>
      <w:proofErr w:type="spellStart"/>
      <w:r w:rsidR="00BA29FE" w:rsidRPr="00BA29FE">
        <w:rPr>
          <w:rFonts w:ascii="Arial" w:hAnsi="Arial" w:cs="Arial"/>
          <w:shd w:val="clear" w:color="auto" w:fill="FFFFFF"/>
        </w:rPr>
        <w:t>woes</w:t>
      </w:r>
      <w:proofErr w:type="spellEnd"/>
      <w:r w:rsidR="00BA29FE" w:rsidRPr="00BA29FE">
        <w:rPr>
          <w:rFonts w:ascii="Arial" w:hAnsi="Arial" w:cs="Arial"/>
          <w:shd w:val="clear" w:color="auto" w:fill="FFFFFF"/>
        </w:rPr>
        <w:t xml:space="preserve"> </w:t>
      </w:r>
      <w:proofErr w:type="spellStart"/>
      <w:r w:rsidR="00BA29FE" w:rsidRPr="00BA29FE">
        <w:rPr>
          <w:rFonts w:ascii="Arial" w:hAnsi="Arial" w:cs="Arial"/>
          <w:shd w:val="clear" w:color="auto" w:fill="FFFFFF"/>
        </w:rPr>
        <w:t>stretch</w:t>
      </w:r>
      <w:proofErr w:type="spellEnd"/>
      <w:r w:rsidR="00BA29FE" w:rsidRPr="00BA29FE">
        <w:rPr>
          <w:rFonts w:ascii="Arial" w:hAnsi="Arial" w:cs="Arial"/>
          <w:shd w:val="clear" w:color="auto" w:fill="FFFFFF"/>
        </w:rPr>
        <w:t xml:space="preserve"> </w:t>
      </w:r>
      <w:proofErr w:type="spellStart"/>
      <w:r w:rsidR="00BA29FE" w:rsidRPr="00BA29FE">
        <w:rPr>
          <w:rFonts w:ascii="Arial" w:hAnsi="Arial" w:cs="Arial"/>
          <w:shd w:val="clear" w:color="auto" w:fill="FFFFFF"/>
        </w:rPr>
        <w:t>retirement</w:t>
      </w:r>
      <w:proofErr w:type="spellEnd"/>
      <w:r w:rsidR="00BA29FE" w:rsidRPr="00BA29FE">
        <w:rPr>
          <w:rFonts w:ascii="Arial" w:hAnsi="Arial" w:cs="Arial"/>
          <w:shd w:val="clear" w:color="auto" w:fill="FFFFFF"/>
        </w:rPr>
        <w:t xml:space="preserve"> outlook</w:t>
      </w:r>
    </w:p>
    <w:p w:rsidR="00E26BB8" w:rsidRPr="00BA29FE" w:rsidRDefault="00E26BB8" w:rsidP="009C491E">
      <w:pPr>
        <w:autoSpaceDE w:val="0"/>
        <w:autoSpaceDN w:val="0"/>
        <w:adjustRightInd w:val="0"/>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050BA3" w:rsidRDefault="00130C1E" w:rsidP="00130C1E">
      <w:pPr>
        <w:rPr>
          <w:rFonts w:ascii="Arial" w:hAnsi="Arial" w:cs="Arial"/>
          <w:shd w:val="clear" w:color="auto" w:fill="FFFFFF"/>
        </w:rPr>
      </w:pPr>
    </w:p>
    <w:p w:rsidR="00883DFA" w:rsidRDefault="00883DFA" w:rsidP="00883DFA">
      <w:pPr>
        <w:autoSpaceDE w:val="0"/>
        <w:autoSpaceDN w:val="0"/>
        <w:adjustRightInd w:val="0"/>
        <w:rPr>
          <w:rFonts w:ascii="Arial" w:hAnsi="Arial" w:cs="Arial"/>
        </w:rPr>
      </w:pPr>
      <w:bookmarkStart w:id="1" w:name="bedarfsgewichtet"/>
      <w:bookmarkEnd w:id="1"/>
      <w:r w:rsidRPr="00DA0473">
        <w:rPr>
          <w:rFonts w:ascii="Arial" w:hAnsi="Arial" w:cs="Arial"/>
          <w:shd w:val="clear" w:color="auto" w:fill="FFFFFF"/>
        </w:rPr>
        <w:t>Informationen zu</w:t>
      </w:r>
      <w:r>
        <w:rPr>
          <w:rFonts w:ascii="Arial" w:hAnsi="Arial" w:cs="Arial"/>
          <w:shd w:val="clear" w:color="auto" w:fill="FFFFFF"/>
        </w:rPr>
        <w:t>r</w:t>
      </w:r>
      <w:r w:rsidRPr="00DA0473">
        <w:rPr>
          <w:rFonts w:ascii="Arial" w:hAnsi="Arial" w:cs="Arial"/>
          <w:shd w:val="clear" w:color="auto" w:fill="FFFFFF"/>
        </w:rPr>
        <w:t xml:space="preserve"> </w:t>
      </w:r>
      <w:r w:rsidRPr="00DA0473">
        <w:rPr>
          <w:rFonts w:ascii="Arial" w:hAnsi="Arial" w:cs="Arial"/>
          <w:b/>
          <w:shd w:val="clear" w:color="auto" w:fill="FFFFFF"/>
        </w:rPr>
        <w:t>Vermögen</w:t>
      </w:r>
      <w:r>
        <w:rPr>
          <w:rFonts w:ascii="Arial" w:hAnsi="Arial" w:cs="Arial"/>
          <w:b/>
          <w:shd w:val="clear" w:color="auto" w:fill="FFFFFF"/>
        </w:rPr>
        <w:t xml:space="preserve">sverteilung </w:t>
      </w:r>
      <w:r w:rsidRPr="00DA0473">
        <w:rPr>
          <w:rFonts w:ascii="Arial" w:hAnsi="Arial" w:cs="Arial"/>
          <w:shd w:val="clear" w:color="auto" w:fill="FFFFFF"/>
        </w:rPr>
        <w:t>erhalten Sie hier</w:t>
      </w:r>
      <w:r>
        <w:rPr>
          <w:rFonts w:ascii="Arial" w:hAnsi="Arial" w:cs="Arial"/>
          <w:shd w:val="clear" w:color="auto" w:fill="FFFFFF"/>
        </w:rPr>
        <w:t xml:space="preserve">: </w:t>
      </w:r>
      <w:hyperlink r:id="rId6" w:history="1">
        <w:r w:rsidRPr="0072019D">
          <w:rPr>
            <w:rStyle w:val="Hyperlink"/>
            <w:rFonts w:ascii="Arial" w:hAnsi="Arial" w:cs="Arial"/>
          </w:rPr>
          <w:t>https://www.bpb.de/61781</w:t>
        </w:r>
      </w:hyperlink>
    </w:p>
    <w:p w:rsidR="00883DFA" w:rsidRPr="00883DFA" w:rsidRDefault="00883DFA" w:rsidP="00883DFA">
      <w:pPr>
        <w:autoSpaceDE w:val="0"/>
        <w:autoSpaceDN w:val="0"/>
        <w:adjustRightInd w:val="0"/>
        <w:rPr>
          <w:rFonts w:ascii="Arial" w:hAnsi="Arial" w:cs="Arial"/>
          <w:shd w:val="clear" w:color="auto" w:fill="FFFFFF"/>
        </w:rPr>
      </w:pPr>
    </w:p>
    <w:p w:rsidR="00753F55" w:rsidRPr="00050BA3" w:rsidRDefault="008075EB" w:rsidP="00130C1E">
      <w:pPr>
        <w:rPr>
          <w:rFonts w:ascii="Arial" w:hAnsi="Arial" w:cs="Arial"/>
          <w:shd w:val="clear" w:color="auto" w:fill="FFFFFF"/>
        </w:rPr>
      </w:pPr>
      <w:r w:rsidRPr="00050BA3">
        <w:rPr>
          <w:rFonts w:ascii="Arial" w:hAnsi="Arial" w:cs="Arial"/>
          <w:shd w:val="clear" w:color="auto" w:fill="FFFFFF"/>
        </w:rPr>
        <w:t>Um sowohl die unterschiedlichen Haushaltsstrukturen als auch die Einspareffekte zu berücksichtigen, die durch das Zusammenleben entstehen (durch gemeinsam genutzten Wohnraum, beim Energieverbrauch pro Kopf oder bei Haushaltsanschaffungen), werden die Einkommen bei der Einkommensberechnung gewichtet (</w:t>
      </w:r>
      <w:r w:rsidRPr="00050BA3">
        <w:rPr>
          <w:rStyle w:val="Fett"/>
          <w:rFonts w:ascii="Arial" w:hAnsi="Arial" w:cs="Arial"/>
          <w:shd w:val="clear" w:color="auto" w:fill="FFFFFF"/>
        </w:rPr>
        <w:t>Äquivalenzeinkommen</w:t>
      </w:r>
      <w:r w:rsidRPr="00050BA3">
        <w:rPr>
          <w:rFonts w:ascii="Arial" w:hAnsi="Arial" w:cs="Arial"/>
          <w:shd w:val="clear" w:color="auto" w:fill="FFFFFF"/>
        </w:rPr>
        <w:t>).</w:t>
      </w:r>
      <w:r w:rsidRPr="00050BA3">
        <w:rPr>
          <w:rFonts w:ascii="Arial" w:hAnsi="Arial" w:cs="Arial"/>
        </w:rPr>
        <w:br/>
      </w:r>
      <w:r w:rsidRPr="00050BA3">
        <w:rPr>
          <w:rFonts w:ascii="Arial" w:hAnsi="Arial" w:cs="Arial"/>
        </w:rPr>
        <w:br/>
      </w:r>
      <w:r w:rsidRPr="00050BA3">
        <w:rPr>
          <w:rFonts w:ascii="Arial" w:hAnsi="Arial" w:cs="Arial"/>
          <w:shd w:val="clear" w:color="auto" w:fill="FFFFFF"/>
        </w:rPr>
        <w:t>Zur Ermittlung des Einkommens wird zunächst das von allen Haushaltsmitgliedern tatsächlich erzielte Haushaltseinkommen zusammengefasst. Dieses setzt sich zusammen aus dem Einkommen aus selbstständiger und unselbstständiger Erwerbstätigkeit, dem Einkommen aus Vermögen, Renten und Pensionen sowie empfangenen laufenden Sozialtransfers – wie zum Beispiel Arbeitslosengeld, Sozialhilfe oder Kindergeld. Direkte Steuern und Sozialbeiträge werden abgezogen.</w:t>
      </w:r>
      <w:r w:rsidRPr="00050BA3">
        <w:rPr>
          <w:rFonts w:ascii="Arial" w:hAnsi="Arial" w:cs="Arial"/>
        </w:rPr>
        <w:br/>
      </w:r>
    </w:p>
    <w:p w:rsidR="001F42B5" w:rsidRDefault="00753F55" w:rsidP="00130C1E">
      <w:pPr>
        <w:rPr>
          <w:rFonts w:ascii="Arial" w:hAnsi="Arial" w:cs="Arial"/>
          <w:shd w:val="clear" w:color="auto" w:fill="FFFFFF"/>
        </w:rPr>
      </w:pPr>
      <w:r w:rsidRPr="00050BA3">
        <w:rPr>
          <w:rFonts w:ascii="Arial" w:hAnsi="Arial" w:cs="Arial"/>
          <w:shd w:val="clear" w:color="auto" w:fill="FFFFFF"/>
        </w:rPr>
        <w:t>Anschließend wird das verfügbare Einkommen gewichtet bzw. das sogenannte </w:t>
      </w:r>
      <w:r w:rsidRPr="00050BA3">
        <w:rPr>
          <w:rStyle w:val="Fett"/>
          <w:rFonts w:ascii="Arial" w:hAnsi="Arial" w:cs="Arial"/>
          <w:shd w:val="clear" w:color="auto" w:fill="FFFFFF"/>
        </w:rPr>
        <w:t>Äquivalenzeinkommen </w:t>
      </w:r>
      <w:r w:rsidRPr="00050BA3">
        <w:rPr>
          <w:rFonts w:ascii="Arial" w:hAnsi="Arial" w:cs="Arial"/>
          <w:shd w:val="clear" w:color="auto" w:fill="FFFFFF"/>
        </w:rPr>
        <w:t>ermittelt. Dazu wird das verfügbare Haushaltseinkommen unter Berücksichtigung eines Gewichtungsschlüssels (Äquivalenzskala) geteilt. Die Äquivalenzskala weist dabei der ersten erwachsenen Person stets das Gewicht 1 zu. Weitere Erwachsene und Kinder ab 14 Jahren erhalten das Gewicht 0,5, Kinder unter 14 Jahren das Gewicht 0,3.</w:t>
      </w:r>
      <w:r w:rsidRPr="00050BA3">
        <w:rPr>
          <w:rFonts w:ascii="Arial" w:hAnsi="Arial" w:cs="Arial"/>
        </w:rPr>
        <w:br/>
      </w:r>
      <w:r w:rsidR="008075EB" w:rsidRPr="00050BA3">
        <w:rPr>
          <w:rFonts w:ascii="Arial" w:hAnsi="Arial" w:cs="Arial"/>
        </w:rPr>
        <w:br/>
      </w:r>
      <w:r w:rsidRPr="00050BA3">
        <w:rPr>
          <w:rStyle w:val="Fett"/>
          <w:rFonts w:ascii="Arial" w:hAnsi="Arial" w:cs="Arial"/>
          <w:shd w:val="clear" w:color="auto" w:fill="FFFFFF"/>
        </w:rPr>
        <w:t>Ein Beispiel: </w:t>
      </w:r>
      <w:r w:rsidRPr="00050BA3">
        <w:rPr>
          <w:rFonts w:ascii="Arial" w:hAnsi="Arial" w:cs="Arial"/>
          <w:shd w:val="clear" w:color="auto" w:fill="FFFFFF"/>
        </w:rPr>
        <w:t xml:space="preserve">Eine Familie mit zwei Erwachsenen und zwei Kindern unter 14 Jahren hat nach der Äquivalenzskala das Gesamtgewicht 2,1 (1 plus 0,5 plus 0,3 plus 0,3). Zu Berechnung des Äquivalenzeinkommens muss das verfügbare Haushaltseinkommen demnach durch 2,1 – und nicht durch die Anzahl der Personen </w:t>
      </w:r>
      <w:r w:rsidRPr="00050BA3">
        <w:rPr>
          <w:rFonts w:ascii="Arial" w:hAnsi="Arial" w:cs="Arial"/>
          <w:shd w:val="clear" w:color="auto" w:fill="FFFFFF"/>
        </w:rPr>
        <w:lastRenderedPageBreak/>
        <w:t>– geteilt werden. Bei einem verfügbaren Haushaltseinkommen von beispielsweise 2.100 Euro hat jedes der vier Haushaltsmitglieder ein Äquivalenzeinkommen von 1.000 Euro.</w:t>
      </w:r>
    </w:p>
    <w:p w:rsidR="001F42B5" w:rsidRDefault="001F42B5" w:rsidP="00130C1E">
      <w:pPr>
        <w:rPr>
          <w:rFonts w:ascii="Arial" w:hAnsi="Arial" w:cs="Arial"/>
          <w:shd w:val="clear" w:color="auto" w:fill="FFFFFF"/>
        </w:rPr>
      </w:pPr>
    </w:p>
    <w:p w:rsidR="00130C1E" w:rsidRDefault="008075EB" w:rsidP="001F42B5">
      <w:pPr>
        <w:rPr>
          <w:rFonts w:ascii="Arial" w:hAnsi="Arial" w:cs="Arial"/>
          <w:shd w:val="clear" w:color="auto" w:fill="FFFFFF"/>
        </w:rPr>
      </w:pPr>
      <w:r w:rsidRPr="00050BA3">
        <w:rPr>
          <w:rFonts w:ascii="Arial" w:hAnsi="Arial" w:cs="Arial"/>
          <w:shd w:val="clear" w:color="auto" w:fill="FFFFFF"/>
        </w:rPr>
        <w:t>Das </w:t>
      </w:r>
      <w:r w:rsidR="00442701" w:rsidRPr="00050BA3">
        <w:rPr>
          <w:rStyle w:val="Fett"/>
          <w:rFonts w:ascii="Arial" w:hAnsi="Arial" w:cs="Arial"/>
          <w:shd w:val="clear" w:color="auto" w:fill="FFFFFF"/>
        </w:rPr>
        <w:t>Sozio-</w:t>
      </w:r>
      <w:proofErr w:type="spellStart"/>
      <w:r w:rsidR="00442701" w:rsidRPr="00050BA3">
        <w:rPr>
          <w:rStyle w:val="Fett"/>
          <w:rFonts w:ascii="Arial" w:hAnsi="Arial" w:cs="Arial"/>
          <w:shd w:val="clear" w:color="auto" w:fill="FFFFFF"/>
        </w:rPr>
        <w:t>oekonomische</w:t>
      </w:r>
      <w:proofErr w:type="spellEnd"/>
      <w:r w:rsidR="00442701" w:rsidRPr="00050BA3">
        <w:rPr>
          <w:rStyle w:val="Fett"/>
          <w:rFonts w:ascii="Arial" w:hAnsi="Arial" w:cs="Arial"/>
          <w:shd w:val="clear" w:color="auto" w:fill="FFFFFF"/>
        </w:rPr>
        <w:t xml:space="preserve"> Panel</w:t>
      </w:r>
      <w:r w:rsidRPr="00050BA3">
        <w:rPr>
          <w:rStyle w:val="Fett"/>
          <w:rFonts w:ascii="Arial" w:hAnsi="Arial" w:cs="Arial"/>
          <w:shd w:val="clear" w:color="auto" w:fill="FFFFFF"/>
        </w:rPr>
        <w:t xml:space="preserve"> (SOEP)</w:t>
      </w:r>
      <w:r w:rsidRPr="00050BA3">
        <w:rPr>
          <w:rFonts w:ascii="Arial" w:hAnsi="Arial" w:cs="Arial"/>
          <w:shd w:val="clear" w:color="auto" w:fill="FFFFFF"/>
        </w:rPr>
        <w:t> ist eine repräsentative Wiederholungsbefragung, die vom Deutschen Institut für Wirtschaftsforschung (DIW Berlin) beauftragt wird.</w:t>
      </w:r>
    </w:p>
    <w:p w:rsidR="001F42B5" w:rsidRDefault="001F42B5" w:rsidP="001F42B5">
      <w:pPr>
        <w:rPr>
          <w:rFonts w:ascii="Arial" w:hAnsi="Arial" w:cs="Arial"/>
          <w:shd w:val="clear" w:color="auto" w:fill="FFFFFF"/>
        </w:rPr>
      </w:pPr>
    </w:p>
    <w:p w:rsidR="001B7D15" w:rsidRPr="00050BA3" w:rsidRDefault="001B7D15" w:rsidP="001B7D15">
      <w:pPr>
        <w:rPr>
          <w:rFonts w:ascii="Arial" w:hAnsi="Arial" w:cs="Arial"/>
          <w:sz w:val="20"/>
          <w:szCs w:val="20"/>
        </w:rPr>
      </w:pPr>
      <w:r w:rsidRPr="00050BA3">
        <w:rPr>
          <w:rFonts w:ascii="Arial" w:hAnsi="Arial" w:cs="Arial"/>
          <w:sz w:val="20"/>
          <w:szCs w:val="20"/>
        </w:rPr>
        <w:t xml:space="preserve">Dieser Text ist unter der Creative Commons Lizenz </w:t>
      </w:r>
      <w:hyperlink r:id="rId7" w:tgtFrame="extern" w:history="1">
        <w:r w:rsidRPr="00050BA3">
          <w:rPr>
            <w:rFonts w:ascii="Arial" w:hAnsi="Arial" w:cs="Arial"/>
            <w:sz w:val="20"/>
            <w:szCs w:val="20"/>
          </w:rPr>
          <w:t>by-nc-nd/3.0/de/</w:t>
        </w:r>
      </w:hyperlink>
      <w:r w:rsidRPr="00050BA3">
        <w:rPr>
          <w:rFonts w:ascii="Arial" w:hAnsi="Arial" w:cs="Arial"/>
          <w:sz w:val="20"/>
          <w:szCs w:val="20"/>
        </w:rPr>
        <w:t xml:space="preserve"> veröffentlicht. </w:t>
      </w:r>
    </w:p>
    <w:p w:rsidR="001B7D15" w:rsidRPr="00933538" w:rsidRDefault="001B7D15">
      <w:pPr>
        <w:rPr>
          <w:rFonts w:ascii="Arial" w:hAnsi="Arial" w:cs="Arial"/>
          <w:i/>
        </w:rPr>
      </w:pPr>
      <w:r w:rsidRPr="00050BA3">
        <w:rPr>
          <w:rFonts w:ascii="Arial" w:hAnsi="Arial" w:cs="Arial"/>
          <w:sz w:val="20"/>
          <w:szCs w:val="20"/>
        </w:rPr>
        <w:t>Bundeszentrale für politische Bildung 20</w:t>
      </w:r>
      <w:r w:rsidR="00BD5C4D" w:rsidRPr="00050BA3">
        <w:rPr>
          <w:rFonts w:ascii="Arial" w:hAnsi="Arial" w:cs="Arial"/>
          <w:sz w:val="20"/>
          <w:szCs w:val="20"/>
        </w:rPr>
        <w:t>20</w:t>
      </w:r>
      <w:r w:rsidRPr="00050BA3">
        <w:rPr>
          <w:rFonts w:ascii="Arial" w:hAnsi="Arial" w:cs="Arial"/>
          <w:sz w:val="20"/>
          <w:szCs w:val="20"/>
        </w:rPr>
        <w:t xml:space="preserve"> | </w:t>
      </w:r>
      <w:hyperlink r:id="rId8" w:history="1">
        <w:r w:rsidRPr="00050BA3">
          <w:rPr>
            <w:rFonts w:ascii="Arial" w:hAnsi="Arial" w:cs="Arial"/>
            <w:sz w:val="20"/>
            <w:szCs w:val="20"/>
          </w:rPr>
          <w:t>www.bpb.de</w:t>
        </w:r>
      </w:hyperlink>
    </w:p>
    <w:sectPr w:rsidR="001B7D15" w:rsidRPr="009335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G Me">
    <w:altName w:val="ING 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24BC"/>
    <w:rsid w:val="0001349B"/>
    <w:rsid w:val="000238CC"/>
    <w:rsid w:val="00050BA3"/>
    <w:rsid w:val="0005792D"/>
    <w:rsid w:val="00070D8B"/>
    <w:rsid w:val="00076264"/>
    <w:rsid w:val="0009167D"/>
    <w:rsid w:val="00094731"/>
    <w:rsid w:val="000A06C1"/>
    <w:rsid w:val="000A20AA"/>
    <w:rsid w:val="000A7F9D"/>
    <w:rsid w:val="000C730A"/>
    <w:rsid w:val="000E2813"/>
    <w:rsid w:val="000F5548"/>
    <w:rsid w:val="000F55F6"/>
    <w:rsid w:val="00101A74"/>
    <w:rsid w:val="00104423"/>
    <w:rsid w:val="00111F49"/>
    <w:rsid w:val="001200F4"/>
    <w:rsid w:val="001221A4"/>
    <w:rsid w:val="00124008"/>
    <w:rsid w:val="001269EF"/>
    <w:rsid w:val="00130C1E"/>
    <w:rsid w:val="001335D4"/>
    <w:rsid w:val="00163721"/>
    <w:rsid w:val="001662E8"/>
    <w:rsid w:val="001713B1"/>
    <w:rsid w:val="001715AF"/>
    <w:rsid w:val="00171D83"/>
    <w:rsid w:val="0017448A"/>
    <w:rsid w:val="00174B87"/>
    <w:rsid w:val="00183A44"/>
    <w:rsid w:val="001863C2"/>
    <w:rsid w:val="00186DC5"/>
    <w:rsid w:val="0019340D"/>
    <w:rsid w:val="00197439"/>
    <w:rsid w:val="001B606B"/>
    <w:rsid w:val="001B7D15"/>
    <w:rsid w:val="001D198C"/>
    <w:rsid w:val="001D7E07"/>
    <w:rsid w:val="001E5E13"/>
    <w:rsid w:val="001F0077"/>
    <w:rsid w:val="001F42B5"/>
    <w:rsid w:val="001F7F43"/>
    <w:rsid w:val="0021766E"/>
    <w:rsid w:val="00231CEB"/>
    <w:rsid w:val="00236386"/>
    <w:rsid w:val="00244199"/>
    <w:rsid w:val="00244394"/>
    <w:rsid w:val="00260769"/>
    <w:rsid w:val="00265449"/>
    <w:rsid w:val="00266714"/>
    <w:rsid w:val="002676AC"/>
    <w:rsid w:val="002766B9"/>
    <w:rsid w:val="0028024F"/>
    <w:rsid w:val="00280677"/>
    <w:rsid w:val="002B5C93"/>
    <w:rsid w:val="002C242C"/>
    <w:rsid w:val="002E7D46"/>
    <w:rsid w:val="00363D8E"/>
    <w:rsid w:val="003657B1"/>
    <w:rsid w:val="0038111C"/>
    <w:rsid w:val="003A6FDC"/>
    <w:rsid w:val="003B1043"/>
    <w:rsid w:val="003B2FF1"/>
    <w:rsid w:val="003B5A46"/>
    <w:rsid w:val="003C1F2C"/>
    <w:rsid w:val="003D3ABC"/>
    <w:rsid w:val="003E0426"/>
    <w:rsid w:val="003E0C4A"/>
    <w:rsid w:val="003E25B4"/>
    <w:rsid w:val="003E3FA5"/>
    <w:rsid w:val="003F711C"/>
    <w:rsid w:val="00402B2C"/>
    <w:rsid w:val="004210B3"/>
    <w:rsid w:val="004242F8"/>
    <w:rsid w:val="004250EE"/>
    <w:rsid w:val="00425117"/>
    <w:rsid w:val="004266B3"/>
    <w:rsid w:val="00442701"/>
    <w:rsid w:val="004554C0"/>
    <w:rsid w:val="00455ECF"/>
    <w:rsid w:val="00460C51"/>
    <w:rsid w:val="00464F29"/>
    <w:rsid w:val="0046791C"/>
    <w:rsid w:val="004715C5"/>
    <w:rsid w:val="00471AFE"/>
    <w:rsid w:val="004731E5"/>
    <w:rsid w:val="00473F5D"/>
    <w:rsid w:val="00475AB8"/>
    <w:rsid w:val="0047765A"/>
    <w:rsid w:val="00477EBE"/>
    <w:rsid w:val="00494DF9"/>
    <w:rsid w:val="004A2795"/>
    <w:rsid w:val="004A2CCD"/>
    <w:rsid w:val="004A6A0F"/>
    <w:rsid w:val="004D59F0"/>
    <w:rsid w:val="004E6618"/>
    <w:rsid w:val="004F0DF6"/>
    <w:rsid w:val="004F2EB9"/>
    <w:rsid w:val="004F5774"/>
    <w:rsid w:val="00500D14"/>
    <w:rsid w:val="0051310F"/>
    <w:rsid w:val="00514A82"/>
    <w:rsid w:val="005234DF"/>
    <w:rsid w:val="00551CE1"/>
    <w:rsid w:val="005533BA"/>
    <w:rsid w:val="005557C5"/>
    <w:rsid w:val="00563462"/>
    <w:rsid w:val="00566A11"/>
    <w:rsid w:val="00577775"/>
    <w:rsid w:val="00591AFF"/>
    <w:rsid w:val="00594628"/>
    <w:rsid w:val="005B4D9E"/>
    <w:rsid w:val="005C7778"/>
    <w:rsid w:val="005D753F"/>
    <w:rsid w:val="005E5C94"/>
    <w:rsid w:val="005F7382"/>
    <w:rsid w:val="00617540"/>
    <w:rsid w:val="00625C9B"/>
    <w:rsid w:val="00637A59"/>
    <w:rsid w:val="00652ACF"/>
    <w:rsid w:val="00652DD2"/>
    <w:rsid w:val="006556F0"/>
    <w:rsid w:val="00660D32"/>
    <w:rsid w:val="00671F9A"/>
    <w:rsid w:val="0068567A"/>
    <w:rsid w:val="0069421D"/>
    <w:rsid w:val="006A3317"/>
    <w:rsid w:val="006B1677"/>
    <w:rsid w:val="006B1683"/>
    <w:rsid w:val="006B2F04"/>
    <w:rsid w:val="006B47AA"/>
    <w:rsid w:val="006D3940"/>
    <w:rsid w:val="006E412F"/>
    <w:rsid w:val="0070122C"/>
    <w:rsid w:val="00722C39"/>
    <w:rsid w:val="00740C0E"/>
    <w:rsid w:val="00743840"/>
    <w:rsid w:val="007443B1"/>
    <w:rsid w:val="007453AD"/>
    <w:rsid w:val="00753F55"/>
    <w:rsid w:val="00756A6D"/>
    <w:rsid w:val="00766238"/>
    <w:rsid w:val="00766F53"/>
    <w:rsid w:val="007769B3"/>
    <w:rsid w:val="00793840"/>
    <w:rsid w:val="00794D92"/>
    <w:rsid w:val="007B4AD0"/>
    <w:rsid w:val="007C3EFF"/>
    <w:rsid w:val="007C6661"/>
    <w:rsid w:val="007D3B72"/>
    <w:rsid w:val="007E347B"/>
    <w:rsid w:val="007E4236"/>
    <w:rsid w:val="007E423E"/>
    <w:rsid w:val="007E4C5C"/>
    <w:rsid w:val="007E7424"/>
    <w:rsid w:val="007F4155"/>
    <w:rsid w:val="008075EB"/>
    <w:rsid w:val="00810BC5"/>
    <w:rsid w:val="00812651"/>
    <w:rsid w:val="0082696E"/>
    <w:rsid w:val="00833813"/>
    <w:rsid w:val="00833EB8"/>
    <w:rsid w:val="00835E1B"/>
    <w:rsid w:val="00841E79"/>
    <w:rsid w:val="00841ECF"/>
    <w:rsid w:val="00843264"/>
    <w:rsid w:val="0085672F"/>
    <w:rsid w:val="008579A4"/>
    <w:rsid w:val="0086092F"/>
    <w:rsid w:val="00864E6C"/>
    <w:rsid w:val="0088239F"/>
    <w:rsid w:val="00883C94"/>
    <w:rsid w:val="00883DFA"/>
    <w:rsid w:val="00892026"/>
    <w:rsid w:val="008A292E"/>
    <w:rsid w:val="008B2910"/>
    <w:rsid w:val="008C59DD"/>
    <w:rsid w:val="008D0676"/>
    <w:rsid w:val="008D0CEB"/>
    <w:rsid w:val="008E0F4F"/>
    <w:rsid w:val="008E550C"/>
    <w:rsid w:val="009135B0"/>
    <w:rsid w:val="009219CE"/>
    <w:rsid w:val="00922D13"/>
    <w:rsid w:val="00932EC5"/>
    <w:rsid w:val="00933538"/>
    <w:rsid w:val="00936A63"/>
    <w:rsid w:val="009418DE"/>
    <w:rsid w:val="00950462"/>
    <w:rsid w:val="0095097C"/>
    <w:rsid w:val="00957E65"/>
    <w:rsid w:val="009635A6"/>
    <w:rsid w:val="00974ABE"/>
    <w:rsid w:val="00986482"/>
    <w:rsid w:val="0099599B"/>
    <w:rsid w:val="009A01C9"/>
    <w:rsid w:val="009A39DD"/>
    <w:rsid w:val="009B34B6"/>
    <w:rsid w:val="009C491E"/>
    <w:rsid w:val="009C7AE9"/>
    <w:rsid w:val="009D30FE"/>
    <w:rsid w:val="009D3525"/>
    <w:rsid w:val="009E0BFE"/>
    <w:rsid w:val="009E3A9C"/>
    <w:rsid w:val="009E5785"/>
    <w:rsid w:val="009F1743"/>
    <w:rsid w:val="00A05AAF"/>
    <w:rsid w:val="00A14D4F"/>
    <w:rsid w:val="00A20379"/>
    <w:rsid w:val="00A20B34"/>
    <w:rsid w:val="00A271B0"/>
    <w:rsid w:val="00A30C39"/>
    <w:rsid w:val="00A3520F"/>
    <w:rsid w:val="00A36099"/>
    <w:rsid w:val="00A37E7C"/>
    <w:rsid w:val="00A403D6"/>
    <w:rsid w:val="00A45A36"/>
    <w:rsid w:val="00A52D35"/>
    <w:rsid w:val="00A563F5"/>
    <w:rsid w:val="00A56C19"/>
    <w:rsid w:val="00A62815"/>
    <w:rsid w:val="00A652F4"/>
    <w:rsid w:val="00A665D1"/>
    <w:rsid w:val="00A853E6"/>
    <w:rsid w:val="00A86D33"/>
    <w:rsid w:val="00AA1895"/>
    <w:rsid w:val="00AC61BA"/>
    <w:rsid w:val="00AD0D8C"/>
    <w:rsid w:val="00AD308A"/>
    <w:rsid w:val="00AD3320"/>
    <w:rsid w:val="00AD3699"/>
    <w:rsid w:val="00AD3BCC"/>
    <w:rsid w:val="00AD5A2B"/>
    <w:rsid w:val="00AD7565"/>
    <w:rsid w:val="00AE1D90"/>
    <w:rsid w:val="00AE73D2"/>
    <w:rsid w:val="00AF03D4"/>
    <w:rsid w:val="00B046F9"/>
    <w:rsid w:val="00B06127"/>
    <w:rsid w:val="00B06259"/>
    <w:rsid w:val="00B15B38"/>
    <w:rsid w:val="00B22067"/>
    <w:rsid w:val="00B22309"/>
    <w:rsid w:val="00B26333"/>
    <w:rsid w:val="00B32082"/>
    <w:rsid w:val="00B330D7"/>
    <w:rsid w:val="00B33419"/>
    <w:rsid w:val="00B46B5F"/>
    <w:rsid w:val="00B6099E"/>
    <w:rsid w:val="00B73F14"/>
    <w:rsid w:val="00B74018"/>
    <w:rsid w:val="00B812AB"/>
    <w:rsid w:val="00BA27C4"/>
    <w:rsid w:val="00BA29FE"/>
    <w:rsid w:val="00BA37F8"/>
    <w:rsid w:val="00BC53BE"/>
    <w:rsid w:val="00BC5FEF"/>
    <w:rsid w:val="00BC60BC"/>
    <w:rsid w:val="00BD5C4D"/>
    <w:rsid w:val="00BF24A8"/>
    <w:rsid w:val="00BF2D38"/>
    <w:rsid w:val="00BF5551"/>
    <w:rsid w:val="00C23848"/>
    <w:rsid w:val="00C32A40"/>
    <w:rsid w:val="00C33977"/>
    <w:rsid w:val="00C46A1D"/>
    <w:rsid w:val="00C5712E"/>
    <w:rsid w:val="00C6415A"/>
    <w:rsid w:val="00C72DF7"/>
    <w:rsid w:val="00C72EFF"/>
    <w:rsid w:val="00C7374E"/>
    <w:rsid w:val="00C832FB"/>
    <w:rsid w:val="00C83F01"/>
    <w:rsid w:val="00C878A1"/>
    <w:rsid w:val="00CA253A"/>
    <w:rsid w:val="00CA5D69"/>
    <w:rsid w:val="00CC5C8D"/>
    <w:rsid w:val="00CC7933"/>
    <w:rsid w:val="00CD4881"/>
    <w:rsid w:val="00CE6004"/>
    <w:rsid w:val="00CF2201"/>
    <w:rsid w:val="00CF3BF7"/>
    <w:rsid w:val="00D10100"/>
    <w:rsid w:val="00D1157E"/>
    <w:rsid w:val="00D17469"/>
    <w:rsid w:val="00D239C1"/>
    <w:rsid w:val="00D3418D"/>
    <w:rsid w:val="00D37663"/>
    <w:rsid w:val="00D4298E"/>
    <w:rsid w:val="00D50139"/>
    <w:rsid w:val="00D6551E"/>
    <w:rsid w:val="00D67563"/>
    <w:rsid w:val="00D701D7"/>
    <w:rsid w:val="00D8365C"/>
    <w:rsid w:val="00D90271"/>
    <w:rsid w:val="00D94C00"/>
    <w:rsid w:val="00DA0F72"/>
    <w:rsid w:val="00DB13C4"/>
    <w:rsid w:val="00DB1472"/>
    <w:rsid w:val="00DC1022"/>
    <w:rsid w:val="00DE45D7"/>
    <w:rsid w:val="00DE7056"/>
    <w:rsid w:val="00DF4935"/>
    <w:rsid w:val="00E17263"/>
    <w:rsid w:val="00E26BB8"/>
    <w:rsid w:val="00E771E2"/>
    <w:rsid w:val="00E87B35"/>
    <w:rsid w:val="00EB0E7B"/>
    <w:rsid w:val="00EB7586"/>
    <w:rsid w:val="00ED0C9F"/>
    <w:rsid w:val="00ED53B8"/>
    <w:rsid w:val="00ED7BBC"/>
    <w:rsid w:val="00EE5A3C"/>
    <w:rsid w:val="00EF2F99"/>
    <w:rsid w:val="00EF59A4"/>
    <w:rsid w:val="00F02304"/>
    <w:rsid w:val="00F06220"/>
    <w:rsid w:val="00F0757C"/>
    <w:rsid w:val="00F14B2A"/>
    <w:rsid w:val="00F20B03"/>
    <w:rsid w:val="00F23DFF"/>
    <w:rsid w:val="00F33357"/>
    <w:rsid w:val="00F35780"/>
    <w:rsid w:val="00F37A10"/>
    <w:rsid w:val="00F4256B"/>
    <w:rsid w:val="00F541AF"/>
    <w:rsid w:val="00F56CBA"/>
    <w:rsid w:val="00F6252C"/>
    <w:rsid w:val="00F62A17"/>
    <w:rsid w:val="00F71E76"/>
    <w:rsid w:val="00F833D1"/>
    <w:rsid w:val="00F86A3C"/>
    <w:rsid w:val="00F86BB9"/>
    <w:rsid w:val="00F97979"/>
    <w:rsid w:val="00FA4969"/>
    <w:rsid w:val="00FB357F"/>
    <w:rsid w:val="00FB4674"/>
    <w:rsid w:val="00FE060A"/>
    <w:rsid w:val="00FE6AB5"/>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BA29FE"/>
    <w:pPr>
      <w:autoSpaceDE w:val="0"/>
      <w:autoSpaceDN w:val="0"/>
      <w:adjustRightInd w:val="0"/>
    </w:pPr>
    <w:rPr>
      <w:rFonts w:ascii="ING Me" w:hAnsi="ING Me" w:cs="ING M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BA29FE"/>
    <w:pPr>
      <w:autoSpaceDE w:val="0"/>
      <w:autoSpaceDN w:val="0"/>
      <w:adjustRightInd w:val="0"/>
    </w:pPr>
    <w:rPr>
      <w:rFonts w:ascii="ING Me" w:hAnsi="ING Me" w:cs="ING M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341662009">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hyperlink" Target="http://creativecommons.org/licenses/by-nc-nd/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pb.de/6178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EB29-93D0-4FB6-BC09-9A378E61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5713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2020-08-11T13:05:00Z</dcterms:created>
  <dcterms:modified xsi:type="dcterms:W3CDTF">2020-10-14T15:30:00Z</dcterms:modified>
</cp:coreProperties>
</file>