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7FE" w:rsidRPr="00EF47FE" w:rsidRDefault="00EF47FE" w:rsidP="00EF47FE">
      <w:pPr>
        <w:rPr>
          <w:rFonts w:ascii="Arial" w:hAnsi="Arial"/>
          <w:b/>
        </w:rPr>
      </w:pPr>
      <w:bookmarkStart w:id="0" w:name="_GoBack"/>
      <w:bookmarkEnd w:id="0"/>
      <w:r w:rsidRPr="00EF47FE">
        <w:rPr>
          <w:rFonts w:ascii="Arial" w:hAnsi="Arial"/>
          <w:b/>
        </w:rPr>
        <w:t>Das Thema Altersarmut ist immer wieder Teil öffentlicher Diskussionen – auch weil viele Menschen sich Sorgen machen, dass ihre finanzielle Altersvorsorge unzureichend ist. Bei einer Betrachtung der Armutsgefährdung der 65-jährigen und älteren Bevölkerung in Deutschland ist zunächst festzustellen, dass im Jahr 2019 die Armutsgefährdung der Älteren in etwa der der Gesamtbevölkerung entsprach – die Armutsgefährdungsquoten lagen bei 15,7 bzw. 15,9 Prozent. Allerdings gibt es große Unterschiede zwischen West- und Ostdeutschland und die Entwicklung im Zeitraum 2006 bis 2019 war insgesamt negativ.</w:t>
      </w:r>
    </w:p>
    <w:p w:rsidR="00EF47FE" w:rsidRPr="00EF47FE" w:rsidRDefault="00EF47FE" w:rsidP="00EF47FE">
      <w:pPr>
        <w:rPr>
          <w:rFonts w:ascii="Arial" w:hAnsi="Arial"/>
          <w:b/>
        </w:rPr>
      </w:pPr>
    </w:p>
    <w:p w:rsidR="00CA5D69" w:rsidRDefault="00CA5D69" w:rsidP="00CA5D69">
      <w:pPr>
        <w:rPr>
          <w:rFonts w:ascii="Arial" w:hAnsi="Arial"/>
          <w:color w:val="FF0000"/>
        </w:rPr>
      </w:pPr>
      <w:r>
        <w:rPr>
          <w:rFonts w:ascii="Arial" w:hAnsi="Arial"/>
          <w:color w:val="FF0000"/>
        </w:rPr>
        <w:t>Fakten</w:t>
      </w:r>
    </w:p>
    <w:p w:rsidR="00CA5D69" w:rsidRPr="009E762E" w:rsidRDefault="00CA5D69" w:rsidP="00CA5D69">
      <w:pPr>
        <w:rPr>
          <w:rFonts w:ascii="Arial" w:hAnsi="Arial"/>
        </w:rPr>
      </w:pPr>
    </w:p>
    <w:p w:rsidR="007769DB" w:rsidRDefault="009D414F" w:rsidP="00552D2B">
      <w:pPr>
        <w:rPr>
          <w:rFonts w:ascii="Arial" w:hAnsi="Arial"/>
        </w:rPr>
      </w:pPr>
      <w:r w:rsidRPr="00612E51">
        <w:rPr>
          <w:rFonts w:ascii="Arial" w:hAnsi="Arial"/>
        </w:rPr>
        <w:t>Nach Ergebnissen des Mikrozensus lag in Westdeutschland die Armutsgefährdungsquote der Männer im Jahr 201</w:t>
      </w:r>
      <w:r w:rsidR="007769DB" w:rsidRPr="00612E51">
        <w:rPr>
          <w:rFonts w:ascii="Arial" w:hAnsi="Arial"/>
        </w:rPr>
        <w:t>9</w:t>
      </w:r>
      <w:r w:rsidRPr="00612E51">
        <w:rPr>
          <w:rFonts w:ascii="Arial" w:hAnsi="Arial"/>
        </w:rPr>
        <w:t xml:space="preserve"> insgesamt bei </w:t>
      </w:r>
      <w:r w:rsidR="007769DB" w:rsidRPr="00612E51">
        <w:rPr>
          <w:rFonts w:ascii="Arial" w:hAnsi="Arial"/>
        </w:rPr>
        <w:t>14</w:t>
      </w:r>
      <w:r w:rsidRPr="00612E51">
        <w:rPr>
          <w:rFonts w:ascii="Arial" w:hAnsi="Arial"/>
        </w:rPr>
        <w:t>,</w:t>
      </w:r>
      <w:r w:rsidR="007769DB" w:rsidRPr="00612E51">
        <w:rPr>
          <w:rFonts w:ascii="Arial" w:hAnsi="Arial"/>
        </w:rPr>
        <w:t>6</w:t>
      </w:r>
      <w:r w:rsidRPr="00612E51">
        <w:rPr>
          <w:rFonts w:ascii="Arial" w:hAnsi="Arial"/>
        </w:rPr>
        <w:t xml:space="preserve"> Prozent. Bei den 65-jährigen und älteren Männern waren </w:t>
      </w:r>
      <w:r w:rsidR="007769DB" w:rsidRPr="00612E51">
        <w:rPr>
          <w:rFonts w:ascii="Arial" w:hAnsi="Arial"/>
        </w:rPr>
        <w:t>13</w:t>
      </w:r>
      <w:r w:rsidRPr="00612E51">
        <w:rPr>
          <w:rFonts w:ascii="Arial" w:hAnsi="Arial"/>
        </w:rPr>
        <w:t>,</w:t>
      </w:r>
      <w:r w:rsidR="007769DB" w:rsidRPr="00612E51">
        <w:rPr>
          <w:rFonts w:ascii="Arial" w:hAnsi="Arial"/>
        </w:rPr>
        <w:t>7</w:t>
      </w:r>
      <w:r w:rsidRPr="00612E51">
        <w:rPr>
          <w:rFonts w:ascii="Arial" w:hAnsi="Arial"/>
        </w:rPr>
        <w:t xml:space="preserve"> Prozent armutsgefährdet. Bei den Frauen lag die Armutsgefährdungsquote der </w:t>
      </w:r>
      <w:r w:rsidR="007769DB" w:rsidRPr="00612E51">
        <w:rPr>
          <w:rFonts w:ascii="Arial" w:hAnsi="Arial"/>
        </w:rPr>
        <w:t xml:space="preserve">65-Jährigen und Älteren </w:t>
      </w:r>
      <w:r w:rsidR="00D314CF">
        <w:rPr>
          <w:rFonts w:ascii="Arial" w:hAnsi="Arial"/>
        </w:rPr>
        <w:t xml:space="preserve">hingegen </w:t>
      </w:r>
      <w:r w:rsidR="007769DB" w:rsidRPr="00612E51">
        <w:rPr>
          <w:rFonts w:ascii="Arial" w:hAnsi="Arial"/>
        </w:rPr>
        <w:t xml:space="preserve">zwei Prozentpunkte </w:t>
      </w:r>
      <w:r w:rsidRPr="00612E51">
        <w:rPr>
          <w:rFonts w:ascii="Arial" w:hAnsi="Arial"/>
        </w:rPr>
        <w:t xml:space="preserve">über der Quote aller Frauen </w:t>
      </w:r>
      <w:r w:rsidR="00D314CF">
        <w:rPr>
          <w:rFonts w:ascii="Arial" w:hAnsi="Arial"/>
        </w:rPr>
        <w:t>(</w:t>
      </w:r>
      <w:r w:rsidR="007769DB" w:rsidRPr="00612E51">
        <w:rPr>
          <w:rFonts w:ascii="Arial" w:hAnsi="Arial"/>
        </w:rPr>
        <w:t xml:space="preserve">18,2 </w:t>
      </w:r>
      <w:r w:rsidR="00D314CF">
        <w:rPr>
          <w:rFonts w:ascii="Arial" w:hAnsi="Arial"/>
        </w:rPr>
        <w:t xml:space="preserve">bzw. </w:t>
      </w:r>
      <w:r w:rsidR="007769DB" w:rsidRPr="00612E51">
        <w:rPr>
          <w:rFonts w:ascii="Arial" w:hAnsi="Arial"/>
        </w:rPr>
        <w:t>16</w:t>
      </w:r>
      <w:r w:rsidRPr="00612E51">
        <w:rPr>
          <w:rFonts w:ascii="Arial" w:hAnsi="Arial"/>
        </w:rPr>
        <w:t>,</w:t>
      </w:r>
      <w:r w:rsidR="007769DB" w:rsidRPr="00612E51">
        <w:rPr>
          <w:rFonts w:ascii="Arial" w:hAnsi="Arial"/>
        </w:rPr>
        <w:t>2</w:t>
      </w:r>
      <w:r w:rsidRPr="00612E51">
        <w:rPr>
          <w:rFonts w:ascii="Arial" w:hAnsi="Arial"/>
        </w:rPr>
        <w:t xml:space="preserve"> Prozent</w:t>
      </w:r>
      <w:r w:rsidR="00D314CF">
        <w:rPr>
          <w:rFonts w:ascii="Arial" w:hAnsi="Arial"/>
        </w:rPr>
        <w:t>)</w:t>
      </w:r>
      <w:r w:rsidRPr="00612E51">
        <w:rPr>
          <w:rFonts w:ascii="Arial" w:hAnsi="Arial"/>
        </w:rPr>
        <w:t>.</w:t>
      </w:r>
      <w:r w:rsidRPr="00612E51">
        <w:rPr>
          <w:rFonts w:ascii="Arial" w:hAnsi="Arial"/>
        </w:rPr>
        <w:br/>
      </w:r>
      <w:r w:rsidRPr="00612E51">
        <w:rPr>
          <w:rFonts w:ascii="Arial" w:hAnsi="Arial"/>
        </w:rPr>
        <w:br/>
        <w:t xml:space="preserve">In Ostdeutschland </w:t>
      </w:r>
      <w:r w:rsidR="007769DB" w:rsidRPr="00612E51">
        <w:rPr>
          <w:rFonts w:ascii="Arial" w:hAnsi="Arial"/>
        </w:rPr>
        <w:t xml:space="preserve">war </w:t>
      </w:r>
      <w:r w:rsidRPr="00612E51">
        <w:rPr>
          <w:rFonts w:ascii="Arial" w:hAnsi="Arial"/>
        </w:rPr>
        <w:t xml:space="preserve">die Armutsgefährdungsquote </w:t>
      </w:r>
      <w:r w:rsidR="007769DB" w:rsidRPr="00612E51">
        <w:rPr>
          <w:rFonts w:ascii="Arial" w:hAnsi="Arial"/>
        </w:rPr>
        <w:t xml:space="preserve">der Älteren im Jahr 2019 niedriger als in Westdeutschland. Zudem lag </w:t>
      </w:r>
      <w:r w:rsidR="008C1AEB">
        <w:rPr>
          <w:rFonts w:ascii="Arial" w:hAnsi="Arial"/>
        </w:rPr>
        <w:t>i</w:t>
      </w:r>
      <w:r w:rsidR="008C1AEB" w:rsidRPr="00612E51">
        <w:rPr>
          <w:rFonts w:ascii="Arial" w:hAnsi="Arial"/>
        </w:rPr>
        <w:t xml:space="preserve">n Ostdeutschland </w:t>
      </w:r>
      <w:r w:rsidR="007769DB" w:rsidRPr="00612E51">
        <w:rPr>
          <w:rFonts w:ascii="Arial" w:hAnsi="Arial"/>
        </w:rPr>
        <w:t xml:space="preserve">sowohl die Quote </w:t>
      </w:r>
      <w:r w:rsidRPr="00612E51">
        <w:rPr>
          <w:rFonts w:ascii="Arial" w:hAnsi="Arial"/>
        </w:rPr>
        <w:t>der 65-jährigen und älteren Männer (</w:t>
      </w:r>
      <w:r w:rsidR="007769DB" w:rsidRPr="00612E51">
        <w:rPr>
          <w:rFonts w:ascii="Arial" w:hAnsi="Arial"/>
        </w:rPr>
        <w:t>13,0</w:t>
      </w:r>
      <w:r w:rsidRPr="00612E51">
        <w:rPr>
          <w:rFonts w:ascii="Arial" w:hAnsi="Arial"/>
        </w:rPr>
        <w:t xml:space="preserve"> Prozent) als auch die der 65-jährigen und älteren Frauen (1</w:t>
      </w:r>
      <w:r w:rsidR="007769DB" w:rsidRPr="00612E51">
        <w:rPr>
          <w:rFonts w:ascii="Arial" w:hAnsi="Arial"/>
        </w:rPr>
        <w:t>4</w:t>
      </w:r>
      <w:r w:rsidRPr="00612E51">
        <w:rPr>
          <w:rFonts w:ascii="Arial" w:hAnsi="Arial"/>
        </w:rPr>
        <w:t>,</w:t>
      </w:r>
      <w:r w:rsidR="007769DB" w:rsidRPr="00612E51">
        <w:rPr>
          <w:rFonts w:ascii="Arial" w:hAnsi="Arial"/>
        </w:rPr>
        <w:t>4</w:t>
      </w:r>
      <w:r w:rsidRPr="00612E51">
        <w:rPr>
          <w:rFonts w:ascii="Arial" w:hAnsi="Arial"/>
        </w:rPr>
        <w:t xml:space="preserve"> Prozent) unter der </w:t>
      </w:r>
      <w:r w:rsidR="00D314CF" w:rsidRPr="00612E51">
        <w:rPr>
          <w:rFonts w:ascii="Arial" w:hAnsi="Arial"/>
        </w:rPr>
        <w:t xml:space="preserve">Armutsgefährdungsquote </w:t>
      </w:r>
      <w:r w:rsidRPr="00612E51">
        <w:rPr>
          <w:rFonts w:ascii="Arial" w:hAnsi="Arial"/>
        </w:rPr>
        <w:t xml:space="preserve">der </w:t>
      </w:r>
      <w:r w:rsidR="008C1AEB">
        <w:rPr>
          <w:rFonts w:ascii="Arial" w:hAnsi="Arial"/>
        </w:rPr>
        <w:t xml:space="preserve">ostdeutschen </w:t>
      </w:r>
      <w:r w:rsidRPr="00612E51">
        <w:rPr>
          <w:rFonts w:ascii="Arial" w:hAnsi="Arial"/>
        </w:rPr>
        <w:t>Männer bzw. Frauen insgesamt (</w:t>
      </w:r>
      <w:r w:rsidR="007769DB" w:rsidRPr="00612E51">
        <w:rPr>
          <w:rFonts w:ascii="Arial" w:hAnsi="Arial"/>
        </w:rPr>
        <w:t xml:space="preserve">17,7 bzw. 18,1 </w:t>
      </w:r>
      <w:r w:rsidRPr="00612E51">
        <w:rPr>
          <w:rFonts w:ascii="Arial" w:hAnsi="Arial"/>
        </w:rPr>
        <w:t xml:space="preserve">Prozent). Noch besser stellen sich die Personen ab 65 Jahre, wenn die Berechnung der Armutsgefährdungsquote nicht auf dem </w:t>
      </w:r>
      <w:r w:rsidR="00084E4B">
        <w:rPr>
          <w:rFonts w:ascii="Arial" w:hAnsi="Arial"/>
        </w:rPr>
        <w:t xml:space="preserve">mittleren </w:t>
      </w:r>
      <w:r w:rsidRPr="00612E51">
        <w:rPr>
          <w:rFonts w:ascii="Arial" w:hAnsi="Arial"/>
        </w:rPr>
        <w:t xml:space="preserve">Einkommen in Deutschland basiert (Bundesmedian), sondern wenn Ostdeutschland gesondert betrachtet wird, die Berechnung der Armutsgefährdungsquote also auf dem </w:t>
      </w:r>
      <w:r w:rsidR="00084E4B">
        <w:rPr>
          <w:rFonts w:ascii="Arial" w:hAnsi="Arial"/>
        </w:rPr>
        <w:t>mittleren E</w:t>
      </w:r>
      <w:r w:rsidRPr="00612E51">
        <w:rPr>
          <w:rFonts w:ascii="Arial" w:hAnsi="Arial"/>
        </w:rPr>
        <w:t xml:space="preserve">inkommen in Ostdeutschland basiert (regionaler Median). Bei dieser Berechnungsvariante lag </w:t>
      </w:r>
      <w:r w:rsidR="00D314CF" w:rsidRPr="00612E51">
        <w:rPr>
          <w:rFonts w:ascii="Arial" w:hAnsi="Arial"/>
        </w:rPr>
        <w:t xml:space="preserve">im Jahr 2019 </w:t>
      </w:r>
      <w:r w:rsidR="00E80AC9">
        <w:rPr>
          <w:rFonts w:ascii="Arial" w:hAnsi="Arial"/>
        </w:rPr>
        <w:t xml:space="preserve">in Ostdeutschland </w:t>
      </w:r>
      <w:r w:rsidRPr="00612E51">
        <w:rPr>
          <w:rFonts w:ascii="Arial" w:hAnsi="Arial"/>
        </w:rPr>
        <w:t xml:space="preserve">die Armutsgefährdungsquote der 65-jährigen und älteren Männer bei lediglich </w:t>
      </w:r>
      <w:r w:rsidR="007769DB" w:rsidRPr="00612E51">
        <w:rPr>
          <w:rFonts w:ascii="Arial" w:hAnsi="Arial"/>
        </w:rPr>
        <w:t>8</w:t>
      </w:r>
      <w:r w:rsidRPr="00612E51">
        <w:rPr>
          <w:rFonts w:ascii="Arial" w:hAnsi="Arial"/>
        </w:rPr>
        <w:t>,</w:t>
      </w:r>
      <w:r w:rsidR="007769DB" w:rsidRPr="00612E51">
        <w:rPr>
          <w:rFonts w:ascii="Arial" w:hAnsi="Arial"/>
        </w:rPr>
        <w:t>7</w:t>
      </w:r>
      <w:r w:rsidRPr="00612E51">
        <w:rPr>
          <w:rFonts w:ascii="Arial" w:hAnsi="Arial"/>
        </w:rPr>
        <w:t xml:space="preserve"> Prozent. </w:t>
      </w:r>
      <w:r w:rsidR="008C1AEB">
        <w:rPr>
          <w:rFonts w:ascii="Arial" w:hAnsi="Arial"/>
        </w:rPr>
        <w:t>Und b</w:t>
      </w:r>
      <w:r w:rsidRPr="00612E51">
        <w:rPr>
          <w:rFonts w:ascii="Arial" w:hAnsi="Arial"/>
        </w:rPr>
        <w:t xml:space="preserve">ei den älteren Frauen waren nur </w:t>
      </w:r>
      <w:r w:rsidR="007769DB" w:rsidRPr="00612E51">
        <w:rPr>
          <w:rFonts w:ascii="Arial" w:hAnsi="Arial"/>
        </w:rPr>
        <w:t>9</w:t>
      </w:r>
      <w:r w:rsidRPr="00612E51">
        <w:rPr>
          <w:rFonts w:ascii="Arial" w:hAnsi="Arial"/>
        </w:rPr>
        <w:t>,</w:t>
      </w:r>
      <w:r w:rsidR="007769DB" w:rsidRPr="00612E51">
        <w:rPr>
          <w:rFonts w:ascii="Arial" w:hAnsi="Arial"/>
        </w:rPr>
        <w:t>8</w:t>
      </w:r>
      <w:r w:rsidRPr="00612E51">
        <w:rPr>
          <w:rFonts w:ascii="Arial" w:hAnsi="Arial"/>
        </w:rPr>
        <w:t xml:space="preserve"> Prozent</w:t>
      </w:r>
      <w:r w:rsidR="008C1AEB">
        <w:rPr>
          <w:rFonts w:ascii="Arial" w:hAnsi="Arial"/>
        </w:rPr>
        <w:t xml:space="preserve"> armutsgefährdet</w:t>
      </w:r>
      <w:r w:rsidRPr="00612E51">
        <w:rPr>
          <w:rFonts w:ascii="Arial" w:hAnsi="Arial"/>
        </w:rPr>
        <w:t>.</w:t>
      </w:r>
    </w:p>
    <w:p w:rsidR="008C1AEB" w:rsidRDefault="008C1AEB" w:rsidP="00552D2B">
      <w:pPr>
        <w:rPr>
          <w:rFonts w:ascii="Arial" w:hAnsi="Arial"/>
        </w:rPr>
      </w:pPr>
    </w:p>
    <w:p w:rsidR="008C1AEB" w:rsidRDefault="00F25C47" w:rsidP="008C1AEB">
      <w:pPr>
        <w:rPr>
          <w:rFonts w:ascii="Arial" w:hAnsi="Arial"/>
        </w:rPr>
      </w:pPr>
      <w:r w:rsidRPr="00534092">
        <w:rPr>
          <w:rFonts w:ascii="Arial" w:hAnsi="Arial"/>
        </w:rPr>
        <w:t xml:space="preserve">Problematisch ist </w:t>
      </w:r>
      <w:r w:rsidR="008C1AEB">
        <w:rPr>
          <w:rFonts w:ascii="Arial" w:hAnsi="Arial"/>
        </w:rPr>
        <w:t xml:space="preserve">allerdings </w:t>
      </w:r>
      <w:r w:rsidRPr="00534092">
        <w:rPr>
          <w:rFonts w:ascii="Arial" w:hAnsi="Arial"/>
        </w:rPr>
        <w:t>die Entwicklung der Armutsgefährdung im Zeitraum 2006 bis 2019</w:t>
      </w:r>
      <w:r w:rsidR="00534092" w:rsidRPr="00534092">
        <w:rPr>
          <w:rFonts w:ascii="Arial" w:hAnsi="Arial"/>
        </w:rPr>
        <w:t xml:space="preserve">: In Westdeutschland erhöhte sich die </w:t>
      </w:r>
      <w:r w:rsidR="00534092" w:rsidRPr="00612E51">
        <w:rPr>
          <w:rFonts w:ascii="Arial" w:hAnsi="Arial"/>
        </w:rPr>
        <w:t>Armutsgefährdungsquote</w:t>
      </w:r>
      <w:r w:rsidR="00534092">
        <w:rPr>
          <w:rFonts w:ascii="Arial" w:hAnsi="Arial"/>
        </w:rPr>
        <w:t xml:space="preserve"> in dieser Zeit bei den </w:t>
      </w:r>
      <w:r w:rsidR="00636CBD">
        <w:rPr>
          <w:rFonts w:ascii="Arial" w:hAnsi="Arial"/>
        </w:rPr>
        <w:t xml:space="preserve">65-jährigen und älteren </w:t>
      </w:r>
      <w:r w:rsidR="00534092">
        <w:rPr>
          <w:rFonts w:ascii="Arial" w:hAnsi="Arial"/>
        </w:rPr>
        <w:t xml:space="preserve">Männern um 4,5 Prozentpunkte (von 9,2 auf 13,7 Prozent) und bei den Frauen um 5,8 Prozentpunkte (von 12,4 auf 18,2 Prozent). </w:t>
      </w:r>
      <w:r w:rsidR="00636CBD">
        <w:rPr>
          <w:rFonts w:ascii="Arial" w:hAnsi="Arial"/>
        </w:rPr>
        <w:t xml:space="preserve">In Ostdeutschland </w:t>
      </w:r>
      <w:r w:rsidR="007919E2">
        <w:rPr>
          <w:rFonts w:ascii="Arial" w:hAnsi="Arial"/>
        </w:rPr>
        <w:t xml:space="preserve">stieg </w:t>
      </w:r>
      <w:r w:rsidR="008C1AEB">
        <w:rPr>
          <w:rFonts w:ascii="Arial" w:hAnsi="Arial"/>
        </w:rPr>
        <w:t xml:space="preserve">die </w:t>
      </w:r>
      <w:r w:rsidR="008C1AEB" w:rsidRPr="00612E51">
        <w:rPr>
          <w:rFonts w:ascii="Arial" w:hAnsi="Arial"/>
        </w:rPr>
        <w:t>Armutsgefährdungsquote</w:t>
      </w:r>
      <w:r w:rsidR="008C1AEB">
        <w:rPr>
          <w:rFonts w:ascii="Arial" w:hAnsi="Arial"/>
        </w:rPr>
        <w:t xml:space="preserve"> der 65-jährigen und älteren Männer </w:t>
      </w:r>
      <w:r w:rsidR="007919E2">
        <w:rPr>
          <w:rFonts w:ascii="Arial" w:hAnsi="Arial"/>
        </w:rPr>
        <w:t xml:space="preserve">im selben Zeitraum </w:t>
      </w:r>
      <w:r w:rsidR="008C1AEB">
        <w:rPr>
          <w:rFonts w:ascii="Arial" w:hAnsi="Arial"/>
        </w:rPr>
        <w:t>um 7,0</w:t>
      </w:r>
      <w:r w:rsidR="008C1AEB" w:rsidRPr="00636CBD">
        <w:rPr>
          <w:rFonts w:ascii="Arial" w:hAnsi="Arial"/>
        </w:rPr>
        <w:t xml:space="preserve"> </w:t>
      </w:r>
      <w:r w:rsidR="008C1AEB">
        <w:rPr>
          <w:rFonts w:ascii="Arial" w:hAnsi="Arial"/>
        </w:rPr>
        <w:t>Prozentpunkte (von 6,0 auf 13,0 Prozent) und die der 65-jährigen und älteren Frauen</w:t>
      </w:r>
      <w:r w:rsidR="008C1AEB" w:rsidRPr="00636CBD">
        <w:rPr>
          <w:rFonts w:ascii="Arial" w:hAnsi="Arial"/>
        </w:rPr>
        <w:t xml:space="preserve"> </w:t>
      </w:r>
      <w:r w:rsidR="008C1AEB">
        <w:rPr>
          <w:rFonts w:ascii="Arial" w:hAnsi="Arial"/>
        </w:rPr>
        <w:t>um 4,5</w:t>
      </w:r>
      <w:r w:rsidR="008C1AEB" w:rsidRPr="00636CBD">
        <w:rPr>
          <w:rFonts w:ascii="Arial" w:hAnsi="Arial"/>
        </w:rPr>
        <w:t xml:space="preserve"> </w:t>
      </w:r>
      <w:r w:rsidR="008C1AEB">
        <w:rPr>
          <w:rFonts w:ascii="Arial" w:hAnsi="Arial"/>
        </w:rPr>
        <w:t>Prozentpunkte (von 9,9 auf 14,4 Prozent).</w:t>
      </w:r>
    </w:p>
    <w:p w:rsidR="008C1AEB" w:rsidRDefault="008C1AEB" w:rsidP="008C1AEB">
      <w:pPr>
        <w:rPr>
          <w:rFonts w:ascii="Arial" w:hAnsi="Arial"/>
        </w:rPr>
      </w:pPr>
    </w:p>
    <w:p w:rsidR="00E510D9" w:rsidRDefault="006979D1" w:rsidP="008C1AEB">
      <w:pPr>
        <w:rPr>
          <w:rFonts w:ascii="Arial" w:hAnsi="Arial"/>
        </w:rPr>
      </w:pPr>
      <w:r w:rsidRPr="000E3BE8">
        <w:rPr>
          <w:rFonts w:ascii="Arial" w:hAnsi="Arial"/>
        </w:rPr>
        <w:t xml:space="preserve">Ein anderer Indikator zur Beurteilung der Einkommenslage von Älteren ist der Bezug von </w:t>
      </w:r>
      <w:r w:rsidR="009D414F" w:rsidRPr="000E3BE8">
        <w:rPr>
          <w:rFonts w:ascii="Arial" w:hAnsi="Arial"/>
        </w:rPr>
        <w:t xml:space="preserve">Grundsicherung im Alter </w:t>
      </w:r>
      <w:r w:rsidRPr="000E3BE8">
        <w:rPr>
          <w:rFonts w:ascii="Arial" w:hAnsi="Arial"/>
        </w:rPr>
        <w:t>nach dem Zwölften Buch Sozialgesetzbuch (SGB XII)</w:t>
      </w:r>
      <w:r w:rsidR="009D414F" w:rsidRPr="000E3BE8">
        <w:rPr>
          <w:rFonts w:ascii="Arial" w:hAnsi="Arial"/>
        </w:rPr>
        <w:t>. Nach Angaben des Statistischen Bundesamtes erhielten am Jahresende 201</w:t>
      </w:r>
      <w:r w:rsidRPr="000E3BE8">
        <w:rPr>
          <w:rFonts w:ascii="Arial" w:hAnsi="Arial"/>
        </w:rPr>
        <w:t>9</w:t>
      </w:r>
      <w:r w:rsidR="009D414F" w:rsidRPr="000E3BE8">
        <w:rPr>
          <w:rFonts w:ascii="Arial" w:hAnsi="Arial"/>
        </w:rPr>
        <w:t xml:space="preserve"> insgesamt </w:t>
      </w:r>
      <w:r w:rsidRPr="000E3BE8">
        <w:rPr>
          <w:rFonts w:ascii="Arial" w:hAnsi="Arial"/>
        </w:rPr>
        <w:t>561</w:t>
      </w:r>
      <w:r w:rsidR="000E3BE8">
        <w:rPr>
          <w:rFonts w:ascii="Arial" w:hAnsi="Arial"/>
        </w:rPr>
        <w:t>.</w:t>
      </w:r>
      <w:r w:rsidRPr="000E3BE8">
        <w:rPr>
          <w:rFonts w:ascii="Arial" w:hAnsi="Arial"/>
        </w:rPr>
        <w:t xml:space="preserve">969 </w:t>
      </w:r>
      <w:r w:rsidR="009D414F" w:rsidRPr="000E3BE8">
        <w:rPr>
          <w:rFonts w:ascii="Arial" w:hAnsi="Arial"/>
        </w:rPr>
        <w:t xml:space="preserve">Personen </w:t>
      </w:r>
      <w:r w:rsidRPr="000E3BE8">
        <w:rPr>
          <w:rFonts w:ascii="Arial" w:hAnsi="Arial"/>
        </w:rPr>
        <w:t>Grundsicherung im Alter (dabei erreichten die vor dem Jahr 1947 geborene</w:t>
      </w:r>
      <w:r w:rsidR="002C655D">
        <w:rPr>
          <w:rFonts w:ascii="Arial" w:hAnsi="Arial"/>
        </w:rPr>
        <w:t>n</w:t>
      </w:r>
      <w:r w:rsidRPr="000E3BE8">
        <w:rPr>
          <w:rFonts w:ascii="Arial" w:hAnsi="Arial"/>
        </w:rPr>
        <w:t xml:space="preserve"> Personen die Altersgrenze nach dem SGB XII mit 65 Jahren. Für 1947 und später Geborene wird die Altersgrenze seit dem Jahr 2012 schrittweise auf 67 Jahre angehoben. Im Dezember 2019 lag die Altersgrenze bei 65 Jahren und 8 Monaten). </w:t>
      </w:r>
      <w:r w:rsidR="00B40FA5">
        <w:rPr>
          <w:rFonts w:ascii="Arial" w:hAnsi="Arial"/>
        </w:rPr>
        <w:t>V</w:t>
      </w:r>
      <w:r w:rsidR="000E3BE8">
        <w:rPr>
          <w:rFonts w:ascii="Arial" w:hAnsi="Arial"/>
        </w:rPr>
        <w:t xml:space="preserve">on den </w:t>
      </w:r>
      <w:r w:rsidR="000E3BE8" w:rsidRPr="000E3BE8">
        <w:rPr>
          <w:rFonts w:ascii="Arial" w:hAnsi="Arial"/>
        </w:rPr>
        <w:t>561</w:t>
      </w:r>
      <w:r w:rsidR="000E3BE8">
        <w:rPr>
          <w:rFonts w:ascii="Arial" w:hAnsi="Arial"/>
        </w:rPr>
        <w:t>.</w:t>
      </w:r>
      <w:r w:rsidR="000E3BE8" w:rsidRPr="000E3BE8">
        <w:rPr>
          <w:rFonts w:ascii="Arial" w:hAnsi="Arial"/>
        </w:rPr>
        <w:t xml:space="preserve">969 Personen </w:t>
      </w:r>
      <w:r w:rsidR="000E3BE8">
        <w:rPr>
          <w:rFonts w:ascii="Arial" w:hAnsi="Arial"/>
        </w:rPr>
        <w:t xml:space="preserve">die im Dezember 2019 </w:t>
      </w:r>
      <w:r w:rsidR="000E3BE8" w:rsidRPr="000E3BE8">
        <w:rPr>
          <w:rFonts w:ascii="Arial" w:hAnsi="Arial"/>
        </w:rPr>
        <w:t>Grundsicherung im Alter</w:t>
      </w:r>
      <w:r w:rsidR="000E3BE8">
        <w:rPr>
          <w:rFonts w:ascii="Arial" w:hAnsi="Arial"/>
        </w:rPr>
        <w:t xml:space="preserve"> bezogen haben, waren </w:t>
      </w:r>
      <w:r w:rsidR="000E3BE8" w:rsidRPr="000E3BE8">
        <w:rPr>
          <w:rFonts w:ascii="Arial" w:hAnsi="Arial"/>
        </w:rPr>
        <w:t>243</w:t>
      </w:r>
      <w:r w:rsidR="000E3BE8">
        <w:rPr>
          <w:rFonts w:ascii="Arial" w:hAnsi="Arial"/>
        </w:rPr>
        <w:t>.</w:t>
      </w:r>
      <w:r w:rsidR="000E3BE8" w:rsidRPr="000E3BE8">
        <w:rPr>
          <w:rFonts w:ascii="Arial" w:hAnsi="Arial"/>
        </w:rPr>
        <w:t>654</w:t>
      </w:r>
      <w:r w:rsidR="000E3BE8">
        <w:rPr>
          <w:rFonts w:ascii="Arial" w:hAnsi="Arial"/>
        </w:rPr>
        <w:t xml:space="preserve"> Männer und </w:t>
      </w:r>
      <w:r w:rsidR="000E3BE8" w:rsidRPr="000E3BE8">
        <w:rPr>
          <w:rFonts w:ascii="Arial" w:hAnsi="Arial"/>
        </w:rPr>
        <w:t>318</w:t>
      </w:r>
      <w:r w:rsidR="000E3BE8">
        <w:rPr>
          <w:rFonts w:ascii="Arial" w:hAnsi="Arial"/>
        </w:rPr>
        <w:t>.</w:t>
      </w:r>
      <w:r w:rsidR="000E3BE8" w:rsidRPr="000E3BE8">
        <w:rPr>
          <w:rFonts w:ascii="Arial" w:hAnsi="Arial"/>
        </w:rPr>
        <w:t>315</w:t>
      </w:r>
      <w:r w:rsidR="000E3BE8">
        <w:rPr>
          <w:rFonts w:ascii="Arial" w:hAnsi="Arial"/>
        </w:rPr>
        <w:t xml:space="preserve"> Frauen.</w:t>
      </w:r>
    </w:p>
    <w:p w:rsidR="00625F11" w:rsidRDefault="00625F11" w:rsidP="00552D2B">
      <w:pPr>
        <w:rPr>
          <w:rFonts w:ascii="Arial" w:hAnsi="Arial"/>
        </w:rPr>
      </w:pPr>
    </w:p>
    <w:p w:rsidR="006979D1" w:rsidRPr="00E510D9" w:rsidRDefault="002C655D" w:rsidP="00552D2B">
      <w:pPr>
        <w:rPr>
          <w:rFonts w:ascii="Arial" w:hAnsi="Arial"/>
        </w:rPr>
      </w:pPr>
      <w:r w:rsidRPr="00E510D9">
        <w:rPr>
          <w:rFonts w:ascii="Arial" w:hAnsi="Arial"/>
        </w:rPr>
        <w:lastRenderedPageBreak/>
        <w:t xml:space="preserve">Der Anteil der Personen, die auf Grundsicherung im Alter angewiesen sind, ist </w:t>
      </w:r>
      <w:r w:rsidR="00B40FA5">
        <w:rPr>
          <w:rFonts w:ascii="Arial" w:hAnsi="Arial"/>
        </w:rPr>
        <w:t xml:space="preserve">zwischen </w:t>
      </w:r>
      <w:r w:rsidR="00B40FA5" w:rsidRPr="00E510D9">
        <w:rPr>
          <w:rFonts w:ascii="Arial" w:hAnsi="Arial"/>
        </w:rPr>
        <w:t xml:space="preserve">2006 </w:t>
      </w:r>
      <w:r w:rsidR="00B40FA5">
        <w:rPr>
          <w:rFonts w:ascii="Arial" w:hAnsi="Arial"/>
        </w:rPr>
        <w:t>und 2018 zwar angestiegen, aber er bewegt sich nach wir vor auf einem niedrigen Niveau. B</w:t>
      </w:r>
      <w:r w:rsidR="003E5B5D">
        <w:rPr>
          <w:rFonts w:ascii="Arial" w:hAnsi="Arial"/>
        </w:rPr>
        <w:t xml:space="preserve">ei den Männern </w:t>
      </w:r>
      <w:r w:rsidR="00B40FA5">
        <w:rPr>
          <w:rFonts w:ascii="Arial" w:hAnsi="Arial"/>
        </w:rPr>
        <w:t xml:space="preserve">stieg </w:t>
      </w:r>
      <w:r w:rsidR="001614B7">
        <w:rPr>
          <w:rFonts w:ascii="Arial" w:hAnsi="Arial"/>
        </w:rPr>
        <w:t>d</w:t>
      </w:r>
      <w:r w:rsidR="00B40FA5">
        <w:rPr>
          <w:rFonts w:ascii="Arial" w:hAnsi="Arial"/>
        </w:rPr>
        <w:t xml:space="preserve">er </w:t>
      </w:r>
      <w:r w:rsidR="001614B7">
        <w:rPr>
          <w:rFonts w:ascii="Arial" w:hAnsi="Arial"/>
        </w:rPr>
        <w:t xml:space="preserve">Anteil </w:t>
      </w:r>
      <w:r w:rsidRPr="00E510D9">
        <w:rPr>
          <w:rFonts w:ascii="Arial" w:hAnsi="Arial"/>
        </w:rPr>
        <w:t xml:space="preserve">von </w:t>
      </w:r>
      <w:r w:rsidR="003E5B5D">
        <w:rPr>
          <w:rFonts w:ascii="Arial" w:hAnsi="Arial"/>
        </w:rPr>
        <w:t>1</w:t>
      </w:r>
      <w:r w:rsidRPr="00E510D9">
        <w:rPr>
          <w:rFonts w:ascii="Arial" w:hAnsi="Arial"/>
        </w:rPr>
        <w:t>,</w:t>
      </w:r>
      <w:r w:rsidR="003E5B5D">
        <w:rPr>
          <w:rFonts w:ascii="Arial" w:hAnsi="Arial"/>
        </w:rPr>
        <w:t>8</w:t>
      </w:r>
      <w:r w:rsidRPr="00E510D9">
        <w:rPr>
          <w:rFonts w:ascii="Arial" w:hAnsi="Arial"/>
        </w:rPr>
        <w:t> auf 3,</w:t>
      </w:r>
      <w:r w:rsidR="003E5B5D">
        <w:rPr>
          <w:rFonts w:ascii="Arial" w:hAnsi="Arial"/>
        </w:rPr>
        <w:t>1</w:t>
      </w:r>
      <w:r w:rsidRPr="00E510D9">
        <w:rPr>
          <w:rFonts w:ascii="Arial" w:hAnsi="Arial"/>
        </w:rPr>
        <w:t xml:space="preserve"> Prozent </w:t>
      </w:r>
      <w:r w:rsidR="003E5B5D">
        <w:rPr>
          <w:rFonts w:ascii="Arial" w:hAnsi="Arial"/>
        </w:rPr>
        <w:t>und bei den Frauen von 2,6 auf 3,3 Prozent</w:t>
      </w:r>
      <w:r w:rsidRPr="00E510D9">
        <w:rPr>
          <w:rFonts w:ascii="Arial" w:hAnsi="Arial"/>
        </w:rPr>
        <w:t>.</w:t>
      </w:r>
      <w:r w:rsidR="00B40FA5">
        <w:rPr>
          <w:rFonts w:ascii="Arial" w:hAnsi="Arial"/>
        </w:rPr>
        <w:t xml:space="preserve"> Entsprechend sind gegenwärtig rund 97 Prozent der Älteren nicht </w:t>
      </w:r>
      <w:r w:rsidR="00B40FA5" w:rsidRPr="00E510D9">
        <w:rPr>
          <w:rFonts w:ascii="Arial" w:hAnsi="Arial"/>
        </w:rPr>
        <w:t>auf Grundsicherung im Alter angewiesen</w:t>
      </w:r>
      <w:r w:rsidR="00B40FA5">
        <w:rPr>
          <w:rFonts w:ascii="Arial" w:hAnsi="Arial"/>
        </w:rPr>
        <w:t>.</w:t>
      </w:r>
    </w:p>
    <w:p w:rsidR="00446378" w:rsidRPr="00D20F79" w:rsidRDefault="00446378" w:rsidP="00446378">
      <w:pPr>
        <w:rPr>
          <w:rFonts w:ascii="Arial" w:hAnsi="Arial"/>
        </w:rPr>
      </w:pPr>
    </w:p>
    <w:p w:rsidR="000E3BE8" w:rsidRDefault="000E3BE8" w:rsidP="000E3BE8">
      <w:pPr>
        <w:rPr>
          <w:rFonts w:ascii="Arial" w:hAnsi="Arial"/>
        </w:rPr>
      </w:pPr>
      <w:r w:rsidRPr="00464BEF">
        <w:rPr>
          <w:rFonts w:ascii="Arial" w:hAnsi="Arial"/>
        </w:rPr>
        <w:t xml:space="preserve">Bei den aufgeführten Daten ist zu berücksichtigen, dass </w:t>
      </w:r>
      <w:r>
        <w:rPr>
          <w:rFonts w:ascii="Arial" w:hAnsi="Arial"/>
        </w:rPr>
        <w:t>d</w:t>
      </w:r>
      <w:r w:rsidRPr="00D72739">
        <w:rPr>
          <w:rFonts w:ascii="Arial" w:hAnsi="Arial"/>
        </w:rPr>
        <w:t>ie Armutsgefährdungsquote ausschließlich das laufende Einkommen reflektiert. Der finanzielle Handlungsspielraum einer Person ist aber nicht nur durch das laufende Einkommen, sondern auch durch das verfügbare Vermögen sowie durch fixe Ausgabenbelastungen bestimmt (zum Beispiel Wohnkosten, Tilgung von Schulden</w:t>
      </w:r>
      <w:r>
        <w:rPr>
          <w:rFonts w:ascii="Arial" w:hAnsi="Arial"/>
        </w:rPr>
        <w:t xml:space="preserve"> oder M</w:t>
      </w:r>
      <w:r w:rsidRPr="00D72739">
        <w:rPr>
          <w:rFonts w:ascii="Arial" w:hAnsi="Arial"/>
        </w:rPr>
        <w:t>ehrbedarfe aufgrund von Krankheiten).</w:t>
      </w:r>
      <w:r w:rsidR="00625F11">
        <w:rPr>
          <w:rFonts w:ascii="Arial" w:hAnsi="Arial"/>
        </w:rPr>
        <w:t xml:space="preserve"> </w:t>
      </w:r>
      <w:r>
        <w:rPr>
          <w:rFonts w:ascii="Arial" w:hAnsi="Arial"/>
        </w:rPr>
        <w:t xml:space="preserve">Zudem kann sich das Niveau der </w:t>
      </w:r>
      <w:r w:rsidRPr="00552D2B">
        <w:rPr>
          <w:rFonts w:ascii="Arial" w:hAnsi="Arial"/>
        </w:rPr>
        <w:t xml:space="preserve">Armutsgefährdung </w:t>
      </w:r>
      <w:r>
        <w:rPr>
          <w:rFonts w:ascii="Arial" w:hAnsi="Arial"/>
        </w:rPr>
        <w:t xml:space="preserve">in der Zukunft verändern. </w:t>
      </w:r>
      <w:r w:rsidRPr="00464BEF">
        <w:rPr>
          <w:rFonts w:ascii="Arial" w:hAnsi="Arial"/>
        </w:rPr>
        <w:t xml:space="preserve">Die erzielten Erwerbseinkommen sind für die meisten Personen die wichtigste Grundlage für die Altersvorsorge. </w:t>
      </w:r>
      <w:r>
        <w:rPr>
          <w:rFonts w:ascii="Arial" w:hAnsi="Arial"/>
        </w:rPr>
        <w:t xml:space="preserve">Niedrige </w:t>
      </w:r>
      <w:r w:rsidRPr="00464BEF">
        <w:rPr>
          <w:rFonts w:ascii="Arial" w:hAnsi="Arial"/>
        </w:rPr>
        <w:t>Einkommen</w:t>
      </w:r>
      <w:r>
        <w:rPr>
          <w:rFonts w:ascii="Arial" w:hAnsi="Arial"/>
        </w:rPr>
        <w:t xml:space="preserve"> </w:t>
      </w:r>
      <w:r w:rsidRPr="00464BEF">
        <w:rPr>
          <w:rFonts w:ascii="Arial" w:hAnsi="Arial"/>
        </w:rPr>
        <w:t>vermindern die Ansprüche im Bereich der gesetzlichen Rentenversicherung und schränken die Möglichkeiten der privaten Vorsorge ein.</w:t>
      </w:r>
      <w:r w:rsidR="00DE62C3">
        <w:rPr>
          <w:rFonts w:ascii="Arial" w:hAnsi="Arial"/>
        </w:rPr>
        <w:t xml:space="preserve"> P</w:t>
      </w:r>
      <w:r w:rsidR="006731A1">
        <w:rPr>
          <w:rFonts w:ascii="Arial" w:hAnsi="Arial"/>
        </w:rPr>
        <w:t xml:space="preserve">roblematisch ist in diesem Zusammenhang, dass sich </w:t>
      </w:r>
      <w:r w:rsidR="00EF47FE">
        <w:rPr>
          <w:rFonts w:ascii="Arial" w:hAnsi="Arial"/>
        </w:rPr>
        <w:t xml:space="preserve">der </w:t>
      </w:r>
      <w:r w:rsidR="006731A1" w:rsidRPr="006731A1">
        <w:rPr>
          <w:rFonts w:ascii="Arial" w:hAnsi="Arial"/>
        </w:rPr>
        <w:t xml:space="preserve">Anteil der Niedriglohnbeschäftigten an allen Beschäftigten </w:t>
      </w:r>
      <w:r w:rsidR="006731A1">
        <w:rPr>
          <w:rFonts w:ascii="Arial" w:hAnsi="Arial"/>
        </w:rPr>
        <w:t>zwischen Mitte der 1990er-Jahre und 2008 erhöht hat und seitdem auf dem höheren Niveau stagniert.</w:t>
      </w:r>
    </w:p>
    <w:p w:rsidR="006731A1" w:rsidRDefault="006731A1" w:rsidP="000E3BE8">
      <w:pPr>
        <w:rPr>
          <w:rFonts w:ascii="Arial" w:hAnsi="Arial"/>
        </w:rPr>
      </w:pPr>
    </w:p>
    <w:p w:rsidR="009D414F" w:rsidRDefault="009D414F" w:rsidP="009D414F">
      <w:pPr>
        <w:rPr>
          <w:rFonts w:ascii="Arial" w:hAnsi="Arial"/>
          <w:color w:val="000000"/>
        </w:rPr>
      </w:pPr>
      <w:r>
        <w:rPr>
          <w:rFonts w:ascii="Arial" w:hAnsi="Arial"/>
          <w:color w:val="FF0000"/>
        </w:rPr>
        <w:t>Datenquelle</w:t>
      </w:r>
    </w:p>
    <w:p w:rsidR="009D414F" w:rsidRPr="008C5199" w:rsidRDefault="009D414F" w:rsidP="009D414F">
      <w:pPr>
        <w:rPr>
          <w:rFonts w:ascii="Arial" w:hAnsi="Arial"/>
        </w:rPr>
      </w:pPr>
    </w:p>
    <w:p w:rsidR="009D414F" w:rsidRPr="008C5199" w:rsidRDefault="009D414F" w:rsidP="009D414F">
      <w:pPr>
        <w:rPr>
          <w:rFonts w:ascii="Arial" w:hAnsi="Arial"/>
        </w:rPr>
      </w:pPr>
      <w:r w:rsidRPr="008C5199">
        <w:rPr>
          <w:rFonts w:ascii="Arial" w:hAnsi="Arial"/>
        </w:rPr>
        <w:t>Statistisches Bundesamt: Mikrozensus</w:t>
      </w:r>
      <w:r w:rsidR="002C655D">
        <w:rPr>
          <w:rFonts w:ascii="Arial" w:hAnsi="Arial"/>
        </w:rPr>
        <w:t xml:space="preserve">; </w:t>
      </w:r>
      <w:r w:rsidR="002C655D" w:rsidRPr="002C655D">
        <w:rPr>
          <w:rFonts w:ascii="Arial" w:hAnsi="Arial"/>
        </w:rPr>
        <w:t>Statistische Ämter des Bundes und der Länder: Statistik der Empfänger von Grundsicherung im Alter und bei Erwerbsminderung nach dem 4. Kapitel des SGB XII</w:t>
      </w:r>
    </w:p>
    <w:p w:rsidR="009D414F" w:rsidRPr="008C5199" w:rsidRDefault="009D414F" w:rsidP="009D414F">
      <w:pPr>
        <w:rPr>
          <w:rFonts w:ascii="Arial" w:hAnsi="Arial"/>
        </w:rPr>
      </w:pPr>
    </w:p>
    <w:p w:rsidR="009D414F" w:rsidRDefault="009D414F" w:rsidP="009D414F">
      <w:pPr>
        <w:rPr>
          <w:rFonts w:ascii="Arial" w:hAnsi="Arial"/>
          <w:color w:val="FF0000"/>
        </w:rPr>
      </w:pPr>
      <w:r>
        <w:rPr>
          <w:rFonts w:ascii="Arial" w:hAnsi="Arial"/>
          <w:color w:val="FF0000"/>
        </w:rPr>
        <w:t>Begriffe, methodische Anmerkungen oder Lesehilfen</w:t>
      </w:r>
    </w:p>
    <w:p w:rsidR="009D414F" w:rsidRPr="00134311" w:rsidRDefault="009D414F" w:rsidP="009D414F">
      <w:pPr>
        <w:rPr>
          <w:rFonts w:ascii="Arial" w:hAnsi="Arial"/>
        </w:rPr>
      </w:pPr>
    </w:p>
    <w:p w:rsidR="009D414F" w:rsidRPr="00134311" w:rsidRDefault="009D414F" w:rsidP="009D414F">
      <w:pPr>
        <w:rPr>
          <w:rFonts w:ascii="Arial" w:hAnsi="Arial"/>
        </w:rPr>
      </w:pPr>
      <w:r w:rsidRPr="00134311">
        <w:rPr>
          <w:rFonts w:ascii="Arial" w:hAnsi="Arial"/>
        </w:rPr>
        <w:t xml:space="preserve">Die </w:t>
      </w:r>
      <w:r w:rsidRPr="00134311">
        <w:rPr>
          <w:rFonts w:ascii="Arial" w:hAnsi="Arial"/>
          <w:b/>
        </w:rPr>
        <w:t>Armutsgefährdungsquote</w:t>
      </w:r>
      <w:r w:rsidRPr="00134311">
        <w:rPr>
          <w:rFonts w:ascii="Arial" w:hAnsi="Arial"/>
        </w:rPr>
        <w:t xml:space="preserve"> gibt an, wie hoch der Anteil der armutsgefährdeten Personen an einer Gesamtgruppe ist. Als armutsgefährdet gelten Personen, deren Einkommen weniger als 60 Prozent des mittleren Einkommens beträgt. Bei der Einkommensberechnung werden sowohl die unterschiedlichen Haushaltsstrukturen als auch die Einspareffekte berücksichtigt, die durch das Zusammenleben entstehen. Die Einkommen werden also gewichtet.</w:t>
      </w:r>
    </w:p>
    <w:p w:rsidR="009D414F" w:rsidRPr="00134311" w:rsidRDefault="009D414F" w:rsidP="009D414F">
      <w:pPr>
        <w:rPr>
          <w:rFonts w:ascii="Arial" w:hAnsi="Arial"/>
        </w:rPr>
      </w:pPr>
    </w:p>
    <w:p w:rsidR="009D414F" w:rsidRPr="00134311" w:rsidRDefault="009D414F" w:rsidP="009D414F">
      <w:pPr>
        <w:rPr>
          <w:rFonts w:ascii="Arial" w:hAnsi="Arial"/>
        </w:rPr>
      </w:pPr>
      <w:r w:rsidRPr="00134311">
        <w:rPr>
          <w:rFonts w:ascii="Arial" w:hAnsi="Arial"/>
        </w:rPr>
        <w:t xml:space="preserve">Um das </w:t>
      </w:r>
      <w:r w:rsidRPr="00134311">
        <w:rPr>
          <w:rFonts w:ascii="Arial" w:hAnsi="Arial"/>
          <w:b/>
        </w:rPr>
        <w:t>mittlere Einkommen</w:t>
      </w:r>
      <w:r w:rsidRPr="00134311">
        <w:rPr>
          <w:rFonts w:ascii="Arial" w:hAnsi="Arial"/>
        </w:rPr>
        <w:t xml:space="preserve"> zu berechnen, wird der </w:t>
      </w:r>
      <w:r w:rsidRPr="00134311">
        <w:rPr>
          <w:rFonts w:ascii="Arial" w:hAnsi="Arial"/>
          <w:b/>
        </w:rPr>
        <w:t>Median</w:t>
      </w:r>
      <w:r w:rsidRPr="00134311">
        <w:rPr>
          <w:rFonts w:ascii="Arial" w:hAnsi="Arial"/>
        </w:rPr>
        <w:t xml:space="preserve"> (Zentralwert) verwendet. Dabei werden hier alle Personen ihrem gewichteten Einkommen nach aufsteigend sortiert. Der Median ist der Einkommenswert derjenigen Person, die die Bevölkerung in genau zwei Hälften teilt. Das heißt, die eine Hälfte hat ein höheres, die andere ein niedrigeres gewichtetes Einkommen. 60 Prozent dieses Medianwertes stellen die Armutsgefährdungsgrenze dar.</w:t>
      </w:r>
    </w:p>
    <w:p w:rsidR="009D414F" w:rsidRPr="00134311" w:rsidRDefault="009D414F" w:rsidP="009D414F">
      <w:pPr>
        <w:rPr>
          <w:rFonts w:ascii="Arial" w:hAnsi="Arial"/>
        </w:rPr>
      </w:pPr>
    </w:p>
    <w:p w:rsidR="009D414F" w:rsidRDefault="009D414F" w:rsidP="009D414F">
      <w:pPr>
        <w:rPr>
          <w:rStyle w:val="Hyperlink"/>
          <w:rFonts w:ascii="Arial" w:hAnsi="Arial"/>
        </w:rPr>
      </w:pPr>
      <w:r w:rsidRPr="00134311">
        <w:rPr>
          <w:rFonts w:ascii="Arial" w:hAnsi="Arial"/>
        </w:rPr>
        <w:t xml:space="preserve">Weitere Informationen zur </w:t>
      </w:r>
      <w:r w:rsidRPr="00134311">
        <w:rPr>
          <w:rFonts w:ascii="Arial" w:hAnsi="Arial"/>
          <w:b/>
        </w:rPr>
        <w:t>Armutsgefährdungsquote und zur Gewichtung der Einkommen</w:t>
      </w:r>
      <w:r w:rsidRPr="00134311">
        <w:rPr>
          <w:rFonts w:ascii="Arial" w:hAnsi="Arial"/>
        </w:rPr>
        <w:t xml:space="preserve"> erhalten Sie hier: </w:t>
      </w:r>
      <w:hyperlink r:id="rId5" w:history="1">
        <w:r w:rsidRPr="00A65DA7">
          <w:rPr>
            <w:rStyle w:val="Hyperlink"/>
            <w:rFonts w:ascii="Arial" w:hAnsi="Arial"/>
          </w:rPr>
          <w:t>https://www.bpb.de/61785</w:t>
        </w:r>
      </w:hyperlink>
    </w:p>
    <w:p w:rsidR="006731A1" w:rsidRDefault="006731A1" w:rsidP="009D414F">
      <w:pPr>
        <w:rPr>
          <w:rStyle w:val="Hyperlink"/>
          <w:rFonts w:ascii="Arial" w:hAnsi="Arial"/>
        </w:rPr>
      </w:pPr>
    </w:p>
    <w:p w:rsidR="006731A1" w:rsidRDefault="006731A1" w:rsidP="006731A1">
      <w:pPr>
        <w:rPr>
          <w:rFonts w:ascii="Arial" w:hAnsi="Arial"/>
        </w:rPr>
      </w:pPr>
      <w:r w:rsidRPr="00134311">
        <w:rPr>
          <w:rFonts w:ascii="Arial" w:hAnsi="Arial"/>
        </w:rPr>
        <w:t>Informationen zu</w:t>
      </w:r>
      <w:r>
        <w:rPr>
          <w:rFonts w:ascii="Arial" w:hAnsi="Arial"/>
        </w:rPr>
        <w:t xml:space="preserve">m Thema </w:t>
      </w:r>
      <w:r>
        <w:rPr>
          <w:rFonts w:ascii="Arial" w:hAnsi="Arial"/>
          <w:b/>
        </w:rPr>
        <w:t xml:space="preserve">Niedriglohn </w:t>
      </w:r>
      <w:r w:rsidRPr="00134311">
        <w:rPr>
          <w:rFonts w:ascii="Arial" w:hAnsi="Arial"/>
        </w:rPr>
        <w:t xml:space="preserve">erhalten Sie hier: </w:t>
      </w:r>
      <w:hyperlink r:id="rId6" w:history="1">
        <w:r w:rsidRPr="001C380A">
          <w:rPr>
            <w:rStyle w:val="Hyperlink"/>
            <w:rFonts w:ascii="Arial" w:hAnsi="Arial"/>
          </w:rPr>
          <w:t>https://www.bpb.de/61750</w:t>
        </w:r>
      </w:hyperlink>
    </w:p>
    <w:p w:rsidR="00670B9F" w:rsidRPr="00134311" w:rsidRDefault="00670B9F" w:rsidP="00130C1E">
      <w:pPr>
        <w:rPr>
          <w:rFonts w:ascii="Arial" w:hAnsi="Arial"/>
        </w:rPr>
      </w:pPr>
    </w:p>
    <w:p w:rsidR="001B7D15" w:rsidRPr="00134311" w:rsidRDefault="001B7D15" w:rsidP="001B7D15">
      <w:pPr>
        <w:rPr>
          <w:rFonts w:ascii="Arial" w:hAnsi="Arial" w:cs="Arial"/>
          <w:sz w:val="20"/>
          <w:szCs w:val="20"/>
        </w:rPr>
      </w:pPr>
      <w:r w:rsidRPr="00134311">
        <w:rPr>
          <w:rFonts w:ascii="Arial" w:hAnsi="Arial" w:cs="Arial"/>
          <w:sz w:val="20"/>
          <w:szCs w:val="20"/>
        </w:rPr>
        <w:t xml:space="preserve">Dieser Text ist unter der Creative Commons Lizenz </w:t>
      </w:r>
      <w:hyperlink r:id="rId7" w:tgtFrame="extern" w:history="1">
        <w:r w:rsidRPr="00134311">
          <w:rPr>
            <w:rFonts w:ascii="Arial" w:hAnsi="Arial" w:cs="Arial"/>
            <w:sz w:val="20"/>
            <w:szCs w:val="20"/>
          </w:rPr>
          <w:t>by-nc-nd/3.0/de/</w:t>
        </w:r>
      </w:hyperlink>
      <w:r w:rsidRPr="00134311">
        <w:rPr>
          <w:rFonts w:ascii="Arial" w:hAnsi="Arial" w:cs="Arial"/>
          <w:sz w:val="20"/>
          <w:szCs w:val="20"/>
        </w:rPr>
        <w:t xml:space="preserve"> veröffentlicht. </w:t>
      </w:r>
    </w:p>
    <w:p w:rsidR="001B7D15" w:rsidRPr="00134311" w:rsidRDefault="001B7D15">
      <w:pPr>
        <w:rPr>
          <w:rFonts w:ascii="Arial" w:hAnsi="Arial" w:cs="Arial"/>
          <w:i/>
        </w:rPr>
      </w:pPr>
      <w:r w:rsidRPr="00134311">
        <w:rPr>
          <w:rFonts w:ascii="Arial" w:hAnsi="Arial" w:cs="Arial"/>
          <w:sz w:val="20"/>
          <w:szCs w:val="20"/>
        </w:rPr>
        <w:t>Bundeszentrale für politische Bildung 20</w:t>
      </w:r>
      <w:r w:rsidR="00BD5C4D" w:rsidRPr="00134311">
        <w:rPr>
          <w:rFonts w:ascii="Arial" w:hAnsi="Arial" w:cs="Arial"/>
          <w:sz w:val="20"/>
          <w:szCs w:val="20"/>
        </w:rPr>
        <w:t>20</w:t>
      </w:r>
      <w:r w:rsidRPr="00134311">
        <w:rPr>
          <w:rFonts w:ascii="Arial" w:hAnsi="Arial" w:cs="Arial"/>
          <w:sz w:val="20"/>
          <w:szCs w:val="20"/>
        </w:rPr>
        <w:t xml:space="preserve"> | </w:t>
      </w:r>
      <w:hyperlink r:id="rId8" w:history="1">
        <w:r w:rsidRPr="00134311">
          <w:rPr>
            <w:rFonts w:ascii="Arial" w:hAnsi="Arial" w:cs="Arial"/>
            <w:sz w:val="20"/>
            <w:szCs w:val="20"/>
          </w:rPr>
          <w:t>www.bpb.de</w:t>
        </w:r>
      </w:hyperlink>
    </w:p>
    <w:sectPr w:rsidR="001B7D15" w:rsidRPr="001343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5792D"/>
    <w:rsid w:val="00070D8B"/>
    <w:rsid w:val="00076264"/>
    <w:rsid w:val="00084E4B"/>
    <w:rsid w:val="0009167D"/>
    <w:rsid w:val="000A06C1"/>
    <w:rsid w:val="000A20AA"/>
    <w:rsid w:val="000A7F9D"/>
    <w:rsid w:val="000B32FE"/>
    <w:rsid w:val="000C730A"/>
    <w:rsid w:val="000E2813"/>
    <w:rsid w:val="000E3BE8"/>
    <w:rsid w:val="000F5548"/>
    <w:rsid w:val="000F55F6"/>
    <w:rsid w:val="00101A74"/>
    <w:rsid w:val="00104423"/>
    <w:rsid w:val="00111F49"/>
    <w:rsid w:val="001200F4"/>
    <w:rsid w:val="001221A4"/>
    <w:rsid w:val="001269EF"/>
    <w:rsid w:val="00130C1E"/>
    <w:rsid w:val="00134311"/>
    <w:rsid w:val="001614B7"/>
    <w:rsid w:val="00163721"/>
    <w:rsid w:val="001662E8"/>
    <w:rsid w:val="001713B1"/>
    <w:rsid w:val="001715AF"/>
    <w:rsid w:val="00171D83"/>
    <w:rsid w:val="0017448A"/>
    <w:rsid w:val="00174B87"/>
    <w:rsid w:val="00183A44"/>
    <w:rsid w:val="001863C2"/>
    <w:rsid w:val="00186DC5"/>
    <w:rsid w:val="001B606B"/>
    <w:rsid w:val="001B7D15"/>
    <w:rsid w:val="001D198C"/>
    <w:rsid w:val="001D7E07"/>
    <w:rsid w:val="001E5E13"/>
    <w:rsid w:val="001F0077"/>
    <w:rsid w:val="001F7F43"/>
    <w:rsid w:val="00212FA5"/>
    <w:rsid w:val="0021766E"/>
    <w:rsid w:val="00236386"/>
    <w:rsid w:val="00244199"/>
    <w:rsid w:val="00244394"/>
    <w:rsid w:val="00260769"/>
    <w:rsid w:val="00266714"/>
    <w:rsid w:val="002676AC"/>
    <w:rsid w:val="002766B9"/>
    <w:rsid w:val="00276AF5"/>
    <w:rsid w:val="0028024F"/>
    <w:rsid w:val="002A40AC"/>
    <w:rsid w:val="002B5C93"/>
    <w:rsid w:val="002C242C"/>
    <w:rsid w:val="002C655D"/>
    <w:rsid w:val="002E7D46"/>
    <w:rsid w:val="00314E40"/>
    <w:rsid w:val="00363D8E"/>
    <w:rsid w:val="003657B1"/>
    <w:rsid w:val="0038111C"/>
    <w:rsid w:val="003A6FDC"/>
    <w:rsid w:val="003B1043"/>
    <w:rsid w:val="003B2FF1"/>
    <w:rsid w:val="003B5A46"/>
    <w:rsid w:val="003C1F2C"/>
    <w:rsid w:val="003D3ABC"/>
    <w:rsid w:val="003E0426"/>
    <w:rsid w:val="003E0C4A"/>
    <w:rsid w:val="003E25B4"/>
    <w:rsid w:val="003E5B5D"/>
    <w:rsid w:val="003F711C"/>
    <w:rsid w:val="00402B2C"/>
    <w:rsid w:val="004210B3"/>
    <w:rsid w:val="004242F8"/>
    <w:rsid w:val="004250EE"/>
    <w:rsid w:val="00425117"/>
    <w:rsid w:val="00446378"/>
    <w:rsid w:val="004554C0"/>
    <w:rsid w:val="00455ECF"/>
    <w:rsid w:val="00460C51"/>
    <w:rsid w:val="00464BEF"/>
    <w:rsid w:val="00464F29"/>
    <w:rsid w:val="0046791C"/>
    <w:rsid w:val="004715C5"/>
    <w:rsid w:val="004731E5"/>
    <w:rsid w:val="00473F5D"/>
    <w:rsid w:val="00475AB8"/>
    <w:rsid w:val="0047765A"/>
    <w:rsid w:val="00477EBE"/>
    <w:rsid w:val="00494DF9"/>
    <w:rsid w:val="004A2795"/>
    <w:rsid w:val="004A6A0F"/>
    <w:rsid w:val="004D36AB"/>
    <w:rsid w:val="004D59F0"/>
    <w:rsid w:val="004E6618"/>
    <w:rsid w:val="004F0DF6"/>
    <w:rsid w:val="004F2EB9"/>
    <w:rsid w:val="004F5774"/>
    <w:rsid w:val="0051310F"/>
    <w:rsid w:val="00514A82"/>
    <w:rsid w:val="005234DF"/>
    <w:rsid w:val="00534092"/>
    <w:rsid w:val="00552D2B"/>
    <w:rsid w:val="005533BA"/>
    <w:rsid w:val="005557C5"/>
    <w:rsid w:val="00563462"/>
    <w:rsid w:val="00576B20"/>
    <w:rsid w:val="00577775"/>
    <w:rsid w:val="00594628"/>
    <w:rsid w:val="005B4D9E"/>
    <w:rsid w:val="005C7778"/>
    <w:rsid w:val="005D386D"/>
    <w:rsid w:val="005E5251"/>
    <w:rsid w:val="005E5C94"/>
    <w:rsid w:val="005F7382"/>
    <w:rsid w:val="00612E51"/>
    <w:rsid w:val="00617540"/>
    <w:rsid w:val="00625C9B"/>
    <w:rsid w:val="00625F11"/>
    <w:rsid w:val="00636CBD"/>
    <w:rsid w:val="00652ACF"/>
    <w:rsid w:val="00652DD2"/>
    <w:rsid w:val="006556F0"/>
    <w:rsid w:val="00670B9F"/>
    <w:rsid w:val="006731A1"/>
    <w:rsid w:val="0068567A"/>
    <w:rsid w:val="006979D1"/>
    <w:rsid w:val="006A3317"/>
    <w:rsid w:val="006B1677"/>
    <w:rsid w:val="006B2F04"/>
    <w:rsid w:val="0070122C"/>
    <w:rsid w:val="00722C39"/>
    <w:rsid w:val="007246BC"/>
    <w:rsid w:val="00726095"/>
    <w:rsid w:val="00740C0E"/>
    <w:rsid w:val="00743840"/>
    <w:rsid w:val="007443B1"/>
    <w:rsid w:val="00756A6D"/>
    <w:rsid w:val="00766238"/>
    <w:rsid w:val="007769DB"/>
    <w:rsid w:val="007842CB"/>
    <w:rsid w:val="007919E2"/>
    <w:rsid w:val="00793840"/>
    <w:rsid w:val="007B4AD0"/>
    <w:rsid w:val="007C3EFF"/>
    <w:rsid w:val="007D3B72"/>
    <w:rsid w:val="007E347B"/>
    <w:rsid w:val="007E4236"/>
    <w:rsid w:val="007E4C5C"/>
    <w:rsid w:val="007E7424"/>
    <w:rsid w:val="007F4155"/>
    <w:rsid w:val="00812651"/>
    <w:rsid w:val="0082696E"/>
    <w:rsid w:val="00833813"/>
    <w:rsid w:val="00833EB8"/>
    <w:rsid w:val="00835E1B"/>
    <w:rsid w:val="00841E79"/>
    <w:rsid w:val="00841ECF"/>
    <w:rsid w:val="00843264"/>
    <w:rsid w:val="0085672F"/>
    <w:rsid w:val="008579A4"/>
    <w:rsid w:val="0086092F"/>
    <w:rsid w:val="00864E6C"/>
    <w:rsid w:val="0088239F"/>
    <w:rsid w:val="00892026"/>
    <w:rsid w:val="00892930"/>
    <w:rsid w:val="008A292E"/>
    <w:rsid w:val="008B2910"/>
    <w:rsid w:val="008C1AEB"/>
    <w:rsid w:val="008C59DD"/>
    <w:rsid w:val="008D0676"/>
    <w:rsid w:val="008D0CEB"/>
    <w:rsid w:val="008E0F4F"/>
    <w:rsid w:val="008E550C"/>
    <w:rsid w:val="009135B0"/>
    <w:rsid w:val="009219CE"/>
    <w:rsid w:val="00922D13"/>
    <w:rsid w:val="00932EC5"/>
    <w:rsid w:val="009418DE"/>
    <w:rsid w:val="00950462"/>
    <w:rsid w:val="0095097C"/>
    <w:rsid w:val="00957E65"/>
    <w:rsid w:val="009635A6"/>
    <w:rsid w:val="00986482"/>
    <w:rsid w:val="0099599B"/>
    <w:rsid w:val="00996C33"/>
    <w:rsid w:val="009A01C9"/>
    <w:rsid w:val="009A39DD"/>
    <w:rsid w:val="009B34B6"/>
    <w:rsid w:val="009C7AE9"/>
    <w:rsid w:val="009D414F"/>
    <w:rsid w:val="009E0BFE"/>
    <w:rsid w:val="009E3A9C"/>
    <w:rsid w:val="009E5785"/>
    <w:rsid w:val="009E762E"/>
    <w:rsid w:val="009F1743"/>
    <w:rsid w:val="009F6A87"/>
    <w:rsid w:val="00A14D4F"/>
    <w:rsid w:val="00A20379"/>
    <w:rsid w:val="00A30C39"/>
    <w:rsid w:val="00A3520F"/>
    <w:rsid w:val="00A36099"/>
    <w:rsid w:val="00A37E7C"/>
    <w:rsid w:val="00A563F5"/>
    <w:rsid w:val="00A665D1"/>
    <w:rsid w:val="00A853E6"/>
    <w:rsid w:val="00A86D33"/>
    <w:rsid w:val="00A948F3"/>
    <w:rsid w:val="00AA1895"/>
    <w:rsid w:val="00AC61BA"/>
    <w:rsid w:val="00AD308A"/>
    <w:rsid w:val="00AD5A2B"/>
    <w:rsid w:val="00AD7565"/>
    <w:rsid w:val="00AE73D2"/>
    <w:rsid w:val="00B046F9"/>
    <w:rsid w:val="00B15B38"/>
    <w:rsid w:val="00B26333"/>
    <w:rsid w:val="00B32082"/>
    <w:rsid w:val="00B330D7"/>
    <w:rsid w:val="00B33419"/>
    <w:rsid w:val="00B40FA5"/>
    <w:rsid w:val="00B6099E"/>
    <w:rsid w:val="00B73F14"/>
    <w:rsid w:val="00B74018"/>
    <w:rsid w:val="00B812AB"/>
    <w:rsid w:val="00BA27C4"/>
    <w:rsid w:val="00BA37F8"/>
    <w:rsid w:val="00BC5FEF"/>
    <w:rsid w:val="00BC60BC"/>
    <w:rsid w:val="00BD5C4D"/>
    <w:rsid w:val="00BF2D38"/>
    <w:rsid w:val="00BF5551"/>
    <w:rsid w:val="00C23848"/>
    <w:rsid w:val="00C32A40"/>
    <w:rsid w:val="00C33977"/>
    <w:rsid w:val="00C46A1D"/>
    <w:rsid w:val="00C5712E"/>
    <w:rsid w:val="00C7374E"/>
    <w:rsid w:val="00C832FB"/>
    <w:rsid w:val="00C83F01"/>
    <w:rsid w:val="00C878A1"/>
    <w:rsid w:val="00CA5D69"/>
    <w:rsid w:val="00CC5C8D"/>
    <w:rsid w:val="00CC7933"/>
    <w:rsid w:val="00CD4881"/>
    <w:rsid w:val="00CE6004"/>
    <w:rsid w:val="00CF2201"/>
    <w:rsid w:val="00CF3BF7"/>
    <w:rsid w:val="00CF5FBD"/>
    <w:rsid w:val="00D10100"/>
    <w:rsid w:val="00D17469"/>
    <w:rsid w:val="00D20F79"/>
    <w:rsid w:val="00D239C1"/>
    <w:rsid w:val="00D314CF"/>
    <w:rsid w:val="00D4298E"/>
    <w:rsid w:val="00D50139"/>
    <w:rsid w:val="00D6551E"/>
    <w:rsid w:val="00D67563"/>
    <w:rsid w:val="00D701D7"/>
    <w:rsid w:val="00D72739"/>
    <w:rsid w:val="00D90271"/>
    <w:rsid w:val="00DA0F72"/>
    <w:rsid w:val="00DB1472"/>
    <w:rsid w:val="00DC1022"/>
    <w:rsid w:val="00DE45D7"/>
    <w:rsid w:val="00DE62C3"/>
    <w:rsid w:val="00DF4935"/>
    <w:rsid w:val="00E120DD"/>
    <w:rsid w:val="00E156C7"/>
    <w:rsid w:val="00E17263"/>
    <w:rsid w:val="00E3505E"/>
    <w:rsid w:val="00E510D9"/>
    <w:rsid w:val="00E771E2"/>
    <w:rsid w:val="00E80AC9"/>
    <w:rsid w:val="00E87B35"/>
    <w:rsid w:val="00EA006A"/>
    <w:rsid w:val="00EB0E7B"/>
    <w:rsid w:val="00ED0C9F"/>
    <w:rsid w:val="00ED7BBC"/>
    <w:rsid w:val="00EE411E"/>
    <w:rsid w:val="00EE5A3C"/>
    <w:rsid w:val="00EF2F99"/>
    <w:rsid w:val="00EF3373"/>
    <w:rsid w:val="00EF47FE"/>
    <w:rsid w:val="00F02304"/>
    <w:rsid w:val="00F0757C"/>
    <w:rsid w:val="00F14B2A"/>
    <w:rsid w:val="00F20B03"/>
    <w:rsid w:val="00F23DFF"/>
    <w:rsid w:val="00F25C47"/>
    <w:rsid w:val="00F33357"/>
    <w:rsid w:val="00F35780"/>
    <w:rsid w:val="00F514AE"/>
    <w:rsid w:val="00F56CBA"/>
    <w:rsid w:val="00F62A17"/>
    <w:rsid w:val="00F71E76"/>
    <w:rsid w:val="00F833D1"/>
    <w:rsid w:val="00F86A3C"/>
    <w:rsid w:val="00FA4969"/>
    <w:rsid w:val="00FA57D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291404288">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792475559">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openxmlformats.org/officeDocument/2006/relationships/settings" Target="settings.xml"/><Relationship Id="rId7" Type="http://schemas.openxmlformats.org/officeDocument/2006/relationships/hyperlink" Target="http://creativecommons.org/licenses/by-nc-nd/3.0/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pb.de/61750" TargetMode="External"/><Relationship Id="rId5" Type="http://schemas.openxmlformats.org/officeDocument/2006/relationships/hyperlink" Target="https://www.bpb.de/6178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5348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dcterms:created xsi:type="dcterms:W3CDTF">2020-11-23T17:04:00Z</dcterms:created>
  <dcterms:modified xsi:type="dcterms:W3CDTF">2020-11-24T09:33:00Z</dcterms:modified>
</cp:coreProperties>
</file>