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B6D86" w14:textId="5370B2E7" w:rsidR="00303BFE" w:rsidRPr="000F60B4" w:rsidRDefault="00303BFE" w:rsidP="00303BFE">
      <w:pPr>
        <w:rPr>
          <w:rFonts w:ascii="Arial" w:hAnsi="Arial"/>
          <w:b/>
        </w:rPr>
      </w:pPr>
      <w:bookmarkStart w:id="0" w:name="_GoBack"/>
      <w:bookmarkEnd w:id="0"/>
      <w:r w:rsidRPr="00303BFE">
        <w:rPr>
          <w:rFonts w:ascii="Arial" w:hAnsi="Arial"/>
          <w:b/>
        </w:rPr>
        <w:t xml:space="preserve">Die Haushalte in Deutschland wenden gut ein Viertel ihres verfügbaren Haushaltseinkommens für Wohnkosten auf (2019: 25,9 Prozent) – der Anteil ist seit 2006 kontinuierlich zurückgegangen. Überdurchschnittlich hoch ist der Wohnkostenanteil bei Alleinstehenden (2019: 37,4 Prozent) und bei Personen, die armutsgefährdet sind (49,0 Prozent). Steigende Mieten führen dabei </w:t>
      </w:r>
      <w:r w:rsidR="000F60B4" w:rsidRPr="000F60B4">
        <w:rPr>
          <w:rFonts w:ascii="Arial" w:hAnsi="Arial"/>
          <w:b/>
        </w:rPr>
        <w:t xml:space="preserve">nicht in jedem Fall </w:t>
      </w:r>
      <w:r w:rsidRPr="00303BFE">
        <w:rPr>
          <w:rFonts w:ascii="Arial" w:hAnsi="Arial"/>
          <w:b/>
        </w:rPr>
        <w:t>zu einer Steigerung der durchschnittlichen Wohnkostenbelastung, sondern in erster Linie zu einer Veränderung der Sozialstruktur durch Zu- und Abwanderung.</w:t>
      </w:r>
    </w:p>
    <w:p w14:paraId="05A5A558" w14:textId="77777777" w:rsidR="00303BFE" w:rsidRPr="00C968AC" w:rsidRDefault="00303BFE">
      <w:pPr>
        <w:rPr>
          <w:rFonts w:ascii="Arial" w:hAnsi="Arial"/>
          <w:color w:val="000000"/>
        </w:rPr>
      </w:pPr>
    </w:p>
    <w:p w14:paraId="5AF367AC" w14:textId="2DD3A99A" w:rsidR="005931C1" w:rsidRPr="00D66574" w:rsidRDefault="005931C1" w:rsidP="005931C1">
      <w:pPr>
        <w:rPr>
          <w:rFonts w:ascii="Arial" w:hAnsi="Arial"/>
          <w:color w:val="FF0000"/>
        </w:rPr>
      </w:pPr>
      <w:r w:rsidRPr="00D66574">
        <w:rPr>
          <w:rFonts w:ascii="Arial" w:hAnsi="Arial"/>
          <w:color w:val="FF0000"/>
        </w:rPr>
        <w:t>Fakten</w:t>
      </w:r>
    </w:p>
    <w:p w14:paraId="071C1236" w14:textId="77777777" w:rsidR="005931C1" w:rsidRPr="00191024" w:rsidRDefault="005931C1">
      <w:pPr>
        <w:rPr>
          <w:rFonts w:ascii="Arial" w:hAnsi="Arial"/>
        </w:rPr>
      </w:pPr>
    </w:p>
    <w:p w14:paraId="74157A3D" w14:textId="400D6474" w:rsidR="00DD4D46" w:rsidRPr="00191024" w:rsidRDefault="00DD4D46" w:rsidP="00DD4D46">
      <w:pPr>
        <w:rPr>
          <w:rFonts w:ascii="Arial" w:hAnsi="Arial"/>
        </w:rPr>
      </w:pPr>
      <w:r w:rsidRPr="00191024">
        <w:rPr>
          <w:rFonts w:ascii="Arial" w:hAnsi="Arial"/>
        </w:rPr>
        <w:t>Im Jahr 2019 wendeten die Haushalte in Deutschland nach Angaben von Eurostat 25,9 Prozent ihres verfügbaren Haushaltseinkommens für Wohnkosten auf</w:t>
      </w:r>
      <w:r w:rsidR="00D63FB4" w:rsidRPr="00191024">
        <w:rPr>
          <w:rFonts w:ascii="Arial" w:hAnsi="Arial"/>
        </w:rPr>
        <w:t xml:space="preserve"> </w:t>
      </w:r>
      <w:r w:rsidR="00201079" w:rsidRPr="00191024">
        <w:rPr>
          <w:rFonts w:ascii="Arial" w:hAnsi="Arial"/>
        </w:rPr>
        <w:t>(</w:t>
      </w:r>
      <w:r w:rsidR="00FE6480" w:rsidRPr="00191024">
        <w:rPr>
          <w:rFonts w:ascii="Arial" w:hAnsi="Arial"/>
        </w:rPr>
        <w:t>e</w:t>
      </w:r>
      <w:r w:rsidR="00D63FB4" w:rsidRPr="00191024">
        <w:rPr>
          <w:rFonts w:ascii="Arial" w:hAnsi="Arial"/>
        </w:rPr>
        <w:t xml:space="preserve">inschließlich der </w:t>
      </w:r>
      <w:r w:rsidRPr="00191024">
        <w:rPr>
          <w:rFonts w:ascii="Arial" w:hAnsi="Arial"/>
        </w:rPr>
        <w:t>Kosten für Energie und Instandhaltung</w:t>
      </w:r>
      <w:r w:rsidR="00201079" w:rsidRPr="00191024">
        <w:rPr>
          <w:rFonts w:ascii="Arial" w:hAnsi="Arial"/>
        </w:rPr>
        <w:t>)</w:t>
      </w:r>
      <w:r w:rsidRPr="00191024">
        <w:rPr>
          <w:rFonts w:ascii="Arial" w:hAnsi="Arial"/>
        </w:rPr>
        <w:t>.</w:t>
      </w:r>
      <w:r w:rsidR="00FE6480" w:rsidRPr="00191024">
        <w:rPr>
          <w:rFonts w:ascii="Arial" w:hAnsi="Arial"/>
        </w:rPr>
        <w:t xml:space="preserve"> </w:t>
      </w:r>
      <w:r w:rsidRPr="00191024">
        <w:rPr>
          <w:rFonts w:ascii="Arial" w:hAnsi="Arial"/>
        </w:rPr>
        <w:t xml:space="preserve">Je nach Haushalt fällt der Anteil jedoch sehr unterschiedlich aus. Bei Alleinstehenden lag der Anteil der Wohnkosten am verfügbaren Haushaltseinkommen bei 37,4 Prozent. Bei </w:t>
      </w:r>
      <w:r w:rsidR="00D63FB4" w:rsidRPr="00191024">
        <w:rPr>
          <w:rFonts w:ascii="Arial" w:hAnsi="Arial"/>
        </w:rPr>
        <w:t xml:space="preserve">Haushalten mit </w:t>
      </w:r>
      <w:r w:rsidRPr="00191024">
        <w:rPr>
          <w:rFonts w:ascii="Arial" w:hAnsi="Arial"/>
        </w:rPr>
        <w:t xml:space="preserve">zwei Erwachsenen </w:t>
      </w:r>
      <w:r w:rsidR="00B46648" w:rsidRPr="00191024">
        <w:rPr>
          <w:rFonts w:ascii="Arial" w:hAnsi="Arial"/>
        </w:rPr>
        <w:t xml:space="preserve">waren es </w:t>
      </w:r>
      <w:r w:rsidRPr="00191024">
        <w:rPr>
          <w:rFonts w:ascii="Arial" w:hAnsi="Arial"/>
        </w:rPr>
        <w:t xml:space="preserve">hingegen lediglich 24,2 Prozent. </w:t>
      </w:r>
      <w:r w:rsidR="00B46648" w:rsidRPr="00191024">
        <w:rPr>
          <w:rFonts w:ascii="Arial" w:hAnsi="Arial"/>
        </w:rPr>
        <w:t xml:space="preserve">Sowohl bei </w:t>
      </w:r>
      <w:r w:rsidR="00D63FB4" w:rsidRPr="00191024">
        <w:rPr>
          <w:rFonts w:ascii="Arial" w:hAnsi="Arial"/>
        </w:rPr>
        <w:t xml:space="preserve">Haushalten mit einem Erwachsenen </w:t>
      </w:r>
      <w:r w:rsidR="00B46648" w:rsidRPr="00191024">
        <w:rPr>
          <w:rFonts w:ascii="Arial" w:hAnsi="Arial"/>
        </w:rPr>
        <w:t>als auch bei Haushalten mit zwei oder mehr Erwachsenen ändern Kinder und auch die Zahl der Kinder vergleichsweise wenig an dem Einkommensanteil, der für Wohnkosten verwendet wird</w:t>
      </w:r>
      <w:r w:rsidR="00E371AE" w:rsidRPr="00191024">
        <w:rPr>
          <w:rFonts w:ascii="Arial" w:hAnsi="Arial"/>
        </w:rPr>
        <w:t xml:space="preserve"> – </w:t>
      </w:r>
      <w:r w:rsidR="00D63FB4" w:rsidRPr="00191024">
        <w:rPr>
          <w:rFonts w:ascii="Arial" w:hAnsi="Arial"/>
        </w:rPr>
        <w:t>schwerer wiegt auch bei diesen Haushaltstypen</w:t>
      </w:r>
      <w:r w:rsidR="00E371AE" w:rsidRPr="00191024">
        <w:rPr>
          <w:rFonts w:ascii="Arial" w:hAnsi="Arial"/>
        </w:rPr>
        <w:t>, ob nur ein Erwachsener im Haushalt lebt oder mehrere Erwachsene</w:t>
      </w:r>
      <w:r w:rsidR="00B46648" w:rsidRPr="00191024">
        <w:rPr>
          <w:rFonts w:ascii="Arial" w:hAnsi="Arial"/>
        </w:rPr>
        <w:t>.</w:t>
      </w:r>
    </w:p>
    <w:p w14:paraId="64F8777D" w14:textId="77777777" w:rsidR="00FE6480" w:rsidRPr="00191024" w:rsidRDefault="00FE6480" w:rsidP="00DD4D46">
      <w:pPr>
        <w:rPr>
          <w:rFonts w:ascii="Arial" w:hAnsi="Arial"/>
        </w:rPr>
      </w:pPr>
    </w:p>
    <w:p w14:paraId="115CB42A" w14:textId="4599D835" w:rsidR="00FE6480" w:rsidRPr="00191024" w:rsidRDefault="00201079" w:rsidP="00C20EBA">
      <w:pPr>
        <w:rPr>
          <w:rFonts w:ascii="Arial" w:hAnsi="Arial"/>
        </w:rPr>
      </w:pPr>
      <w:r w:rsidRPr="00191024">
        <w:rPr>
          <w:rFonts w:ascii="Arial" w:hAnsi="Arial"/>
        </w:rPr>
        <w:t xml:space="preserve">Abseits kleinerer Schwankungen </w:t>
      </w:r>
      <w:r w:rsidR="00E371AE" w:rsidRPr="00191024">
        <w:rPr>
          <w:rFonts w:ascii="Arial" w:hAnsi="Arial"/>
        </w:rPr>
        <w:t xml:space="preserve">ist der Anteil am verfügbaren Haushaltseinkommen, der für Wohnkosten verbraucht wurde, </w:t>
      </w:r>
      <w:r w:rsidRPr="00191024">
        <w:rPr>
          <w:rFonts w:ascii="Arial" w:hAnsi="Arial"/>
        </w:rPr>
        <w:t xml:space="preserve">zwischen 2006 und 2019 </w:t>
      </w:r>
      <w:r w:rsidR="00E371AE" w:rsidRPr="00191024">
        <w:rPr>
          <w:rFonts w:ascii="Arial" w:hAnsi="Arial"/>
        </w:rPr>
        <w:t>kontinuierlich von 33,4 auf 25,9 Prozent zurückgegangen. Das gilt für alle hier betrachteten Haushalte – für die Haushalte mit Kindern noch etwas stärker als für Haushalte ohne Kinder.</w:t>
      </w:r>
      <w:r w:rsidR="00FE6480" w:rsidRPr="00191024">
        <w:rPr>
          <w:rFonts w:ascii="Arial" w:hAnsi="Arial"/>
        </w:rPr>
        <w:t xml:space="preserve"> </w:t>
      </w:r>
      <w:r w:rsidR="00C20EBA" w:rsidRPr="00191024">
        <w:rPr>
          <w:rFonts w:ascii="Arial" w:hAnsi="Arial"/>
        </w:rPr>
        <w:t xml:space="preserve">Dieser Trend wird auch durch eine andere Erhebung von Eurostat bestätigt: 2006 wurde für 26,5 Prozent der Haushalte angegeben, dass die Wohnkosten eine starke finanzielle Belastung sind, 2012 lag der Wert bei 19,1 Prozent und 2019 </w:t>
      </w:r>
      <w:r w:rsidRPr="00191024">
        <w:rPr>
          <w:rFonts w:ascii="Arial" w:hAnsi="Arial"/>
        </w:rPr>
        <w:t xml:space="preserve">nur noch </w:t>
      </w:r>
      <w:r w:rsidR="00C20EBA" w:rsidRPr="00191024">
        <w:rPr>
          <w:rFonts w:ascii="Arial" w:hAnsi="Arial"/>
        </w:rPr>
        <w:t>bei 12,1 Prozent.</w:t>
      </w:r>
    </w:p>
    <w:p w14:paraId="24C9316E" w14:textId="77777777" w:rsidR="00FE6480" w:rsidRPr="00191024" w:rsidRDefault="00FE6480" w:rsidP="00C20EBA">
      <w:pPr>
        <w:rPr>
          <w:rFonts w:ascii="Arial" w:hAnsi="Arial"/>
        </w:rPr>
      </w:pPr>
    </w:p>
    <w:p w14:paraId="4E171E97" w14:textId="10234F2D" w:rsidR="008D547D" w:rsidRPr="00191024" w:rsidRDefault="008967C1" w:rsidP="000002DA">
      <w:pPr>
        <w:rPr>
          <w:rFonts w:ascii="Arial" w:hAnsi="Arial"/>
        </w:rPr>
      </w:pPr>
      <w:r w:rsidRPr="00191024">
        <w:rPr>
          <w:rFonts w:ascii="Arial" w:hAnsi="Arial"/>
        </w:rPr>
        <w:t>Nach Eurostat liegt eine Überbelastung durch Wohnkosten dann vor, wenn ein Haushalt mehr als 40 Prozent seines verfügbaren Einkommens für Wohnen ausgibt – unabhängig davon, ob die Betroffenen zur Miete oder in</w:t>
      </w:r>
      <w:r w:rsidR="00FE6480" w:rsidRPr="00191024">
        <w:rPr>
          <w:rFonts w:ascii="Arial" w:hAnsi="Arial"/>
        </w:rPr>
        <w:t xml:space="preserve"> den eigenen vier Wänden leben. </w:t>
      </w:r>
      <w:r w:rsidR="008D547D" w:rsidRPr="00191024">
        <w:rPr>
          <w:rFonts w:ascii="Arial" w:hAnsi="Arial"/>
        </w:rPr>
        <w:t xml:space="preserve">Im Jahr 2019 galt dies für 13,9 Prozent der Bevölkerung – 11,4 Millionen Menschen. Die sogenannte Überbelastungsquote schwankte in </w:t>
      </w:r>
      <w:r w:rsidR="00A22B53" w:rsidRPr="00191024">
        <w:rPr>
          <w:rFonts w:ascii="Arial" w:hAnsi="Arial"/>
        </w:rPr>
        <w:t xml:space="preserve">den </w:t>
      </w:r>
      <w:r w:rsidR="008D547D" w:rsidRPr="00191024">
        <w:rPr>
          <w:rFonts w:ascii="Arial" w:hAnsi="Arial"/>
        </w:rPr>
        <w:t>zehn Jahren von 2000 bis 2019 leicht um 15,4 Prozent.</w:t>
      </w:r>
    </w:p>
    <w:p w14:paraId="35A11AA2" w14:textId="77777777" w:rsidR="00FE6480" w:rsidRPr="00191024" w:rsidRDefault="00FE6480" w:rsidP="000002DA">
      <w:pPr>
        <w:rPr>
          <w:rFonts w:ascii="Arial" w:hAnsi="Arial"/>
        </w:rPr>
      </w:pPr>
    </w:p>
    <w:p w14:paraId="221E8CA8" w14:textId="7B668B3D" w:rsidR="003D1E40" w:rsidRPr="00191024" w:rsidRDefault="0004074B" w:rsidP="000002DA">
      <w:pPr>
        <w:rPr>
          <w:rFonts w:ascii="Arial" w:hAnsi="Arial"/>
        </w:rPr>
      </w:pPr>
      <w:r w:rsidRPr="00191024">
        <w:rPr>
          <w:rFonts w:ascii="Arial" w:hAnsi="Arial"/>
        </w:rPr>
        <w:t xml:space="preserve">Deutlich andere Zahlen ergeben sich, wenn die Personen betrachtet werden, die armutsgefährdet sind. </w:t>
      </w:r>
      <w:r w:rsidRPr="00191024">
        <w:rPr>
          <w:rFonts w:ascii="Arial" w:hAnsi="Arial" w:cs="Arial"/>
          <w:shd w:val="clear" w:color="auto" w:fill="FFFFFF"/>
        </w:rPr>
        <w:t>Als armutsgefährdet gelten Personen, deren Einkommen weniger als 60 Prozent des mittleren Einkommens beträgt.</w:t>
      </w:r>
      <w:r w:rsidR="003D1E40" w:rsidRPr="00191024">
        <w:rPr>
          <w:rFonts w:ascii="Arial" w:hAnsi="Arial" w:cs="Arial"/>
          <w:shd w:val="clear" w:color="auto" w:fill="FFFFFF"/>
        </w:rPr>
        <w:t xml:space="preserve"> A</w:t>
      </w:r>
      <w:r w:rsidR="003D1E40" w:rsidRPr="00191024">
        <w:rPr>
          <w:rFonts w:ascii="Arial" w:hAnsi="Arial"/>
        </w:rPr>
        <w:t>rmutsgefährdete Personen gaben 2019 fast die Hälfte ihres verfügbaren Haushaltseinkommens für Wohnkosten aus (49,0 Prozent)</w:t>
      </w:r>
      <w:r w:rsidR="00CD351B" w:rsidRPr="00191024">
        <w:rPr>
          <w:rFonts w:ascii="Arial" w:hAnsi="Arial"/>
        </w:rPr>
        <w:t xml:space="preserve"> – bei den Alleinstehenden unter ihnen waren es sogar 57,5 Prozent</w:t>
      </w:r>
      <w:r w:rsidR="003D1E40" w:rsidRPr="00191024">
        <w:rPr>
          <w:rFonts w:ascii="Arial" w:hAnsi="Arial"/>
        </w:rPr>
        <w:t>.</w:t>
      </w:r>
      <w:r w:rsidR="00FE6480" w:rsidRPr="00191024">
        <w:rPr>
          <w:rFonts w:ascii="Arial" w:hAnsi="Arial"/>
        </w:rPr>
        <w:t xml:space="preserve"> </w:t>
      </w:r>
      <w:r w:rsidR="00CD351B" w:rsidRPr="00191024">
        <w:rPr>
          <w:rFonts w:ascii="Arial" w:hAnsi="Arial"/>
        </w:rPr>
        <w:t>Entsprechend gaben im Jahr 2019 auch mehr als ein Fünftel der armutsgefährdeten Personen an, dass die Wohnkosten eine starke finanzielle Belastung sind (21,9 Prozent).</w:t>
      </w:r>
      <w:r w:rsidR="00201079" w:rsidRPr="00191024">
        <w:rPr>
          <w:rFonts w:ascii="Arial" w:hAnsi="Arial"/>
        </w:rPr>
        <w:t xml:space="preserve"> </w:t>
      </w:r>
      <w:r w:rsidR="00CD351B" w:rsidRPr="00191024">
        <w:rPr>
          <w:rFonts w:ascii="Arial" w:hAnsi="Arial"/>
        </w:rPr>
        <w:t xml:space="preserve">Schließlich lag die Überbelastungsquote bei den armutsgefährdeten Personen im Jahr 2019 bei 48,3 Prozent. Demgegenüber </w:t>
      </w:r>
      <w:r w:rsidR="00201079" w:rsidRPr="00191024">
        <w:rPr>
          <w:rFonts w:ascii="Arial" w:hAnsi="Arial"/>
        </w:rPr>
        <w:t xml:space="preserve">gaben von </w:t>
      </w:r>
      <w:r w:rsidR="00CD351B" w:rsidRPr="00191024">
        <w:rPr>
          <w:rFonts w:ascii="Arial" w:hAnsi="Arial"/>
        </w:rPr>
        <w:t xml:space="preserve">den Personen, die nicht armutsgefährdet sind, lediglich </w:t>
      </w:r>
      <w:r w:rsidR="00201079" w:rsidRPr="00191024">
        <w:rPr>
          <w:rFonts w:ascii="Arial" w:hAnsi="Arial"/>
        </w:rPr>
        <w:t>8,0</w:t>
      </w:r>
      <w:r w:rsidR="00CD351B" w:rsidRPr="00191024">
        <w:rPr>
          <w:rFonts w:ascii="Arial" w:hAnsi="Arial"/>
        </w:rPr>
        <w:t xml:space="preserve"> Prozent</w:t>
      </w:r>
      <w:r w:rsidR="00201079" w:rsidRPr="00191024">
        <w:rPr>
          <w:rFonts w:ascii="Arial" w:hAnsi="Arial"/>
        </w:rPr>
        <w:t xml:space="preserve"> mehr als 40 Prozent ihres verfügbaren Einkommens für Wohnen aus</w:t>
      </w:r>
      <w:r w:rsidR="00CD351B" w:rsidRPr="00191024">
        <w:rPr>
          <w:rFonts w:ascii="Arial" w:hAnsi="Arial"/>
        </w:rPr>
        <w:t>.</w:t>
      </w:r>
    </w:p>
    <w:p w14:paraId="05377DD1" w14:textId="77777777" w:rsidR="00FE6480" w:rsidRPr="00191024" w:rsidRDefault="00FE6480" w:rsidP="000002DA">
      <w:pPr>
        <w:rPr>
          <w:rFonts w:ascii="Arial" w:hAnsi="Arial"/>
        </w:rPr>
      </w:pPr>
    </w:p>
    <w:p w14:paraId="7E220AAF" w14:textId="23078D31" w:rsidR="00E73888" w:rsidRPr="00191024" w:rsidRDefault="00265E67" w:rsidP="000002DA">
      <w:pPr>
        <w:rPr>
          <w:rFonts w:ascii="Arial" w:hAnsi="Arial"/>
        </w:rPr>
      </w:pPr>
      <w:r w:rsidRPr="00191024">
        <w:rPr>
          <w:rFonts w:ascii="Arial" w:hAnsi="Arial"/>
        </w:rPr>
        <w:lastRenderedPageBreak/>
        <w:t xml:space="preserve">Auch andere Faktoren, wie zum Beispiel der </w:t>
      </w:r>
      <w:r w:rsidR="00E73888" w:rsidRPr="00191024">
        <w:rPr>
          <w:rFonts w:ascii="Arial" w:hAnsi="Arial"/>
        </w:rPr>
        <w:t>Verstädterungsgrad</w:t>
      </w:r>
      <w:r w:rsidRPr="00191024">
        <w:rPr>
          <w:rFonts w:ascii="Arial" w:hAnsi="Arial"/>
        </w:rPr>
        <w:t>, haben Einfluss auf die Wohnkostenbelastung</w:t>
      </w:r>
      <w:r w:rsidR="00E73888" w:rsidRPr="00191024">
        <w:rPr>
          <w:rFonts w:ascii="Arial" w:hAnsi="Arial"/>
        </w:rPr>
        <w:t xml:space="preserve">. So lag der Anteil der überbelasteten Haushalte in den Städten im Jahr 2019 bei 16,2 Prozent. In den kleineren Städten </w:t>
      </w:r>
      <w:r w:rsidR="00A22B53" w:rsidRPr="00191024">
        <w:rPr>
          <w:rFonts w:ascii="Arial" w:hAnsi="Arial"/>
        </w:rPr>
        <w:t xml:space="preserve">lag der Anteil bei </w:t>
      </w:r>
      <w:r w:rsidR="00E73888" w:rsidRPr="00191024">
        <w:rPr>
          <w:rFonts w:ascii="Arial" w:hAnsi="Arial"/>
        </w:rPr>
        <w:t xml:space="preserve">12,7 </w:t>
      </w:r>
      <w:r w:rsidR="00A22B53" w:rsidRPr="00191024">
        <w:rPr>
          <w:rFonts w:ascii="Arial" w:hAnsi="Arial"/>
        </w:rPr>
        <w:t xml:space="preserve">Prozent </w:t>
      </w:r>
      <w:r w:rsidR="00E73888" w:rsidRPr="00191024">
        <w:rPr>
          <w:rFonts w:ascii="Arial" w:hAnsi="Arial"/>
        </w:rPr>
        <w:t xml:space="preserve">und in ländlichen Gebieten </w:t>
      </w:r>
      <w:r w:rsidR="00A22B53" w:rsidRPr="00191024">
        <w:rPr>
          <w:rFonts w:ascii="Arial" w:hAnsi="Arial"/>
        </w:rPr>
        <w:t xml:space="preserve">bei </w:t>
      </w:r>
      <w:r w:rsidR="00E73888" w:rsidRPr="00191024">
        <w:rPr>
          <w:rFonts w:ascii="Arial" w:hAnsi="Arial"/>
        </w:rPr>
        <w:t>12,4 Prozent.</w:t>
      </w:r>
    </w:p>
    <w:p w14:paraId="546A85D5" w14:textId="77777777" w:rsidR="00FE6480" w:rsidRPr="00191024" w:rsidRDefault="00FE6480" w:rsidP="000002DA">
      <w:pPr>
        <w:rPr>
          <w:rFonts w:ascii="Arial" w:hAnsi="Arial"/>
        </w:rPr>
      </w:pPr>
    </w:p>
    <w:p w14:paraId="77880306" w14:textId="79325500" w:rsidR="00FE6480" w:rsidRPr="00191024" w:rsidRDefault="005D0C14" w:rsidP="000002DA">
      <w:pPr>
        <w:rPr>
          <w:rFonts w:ascii="Arial" w:hAnsi="Arial"/>
        </w:rPr>
      </w:pPr>
      <w:r w:rsidRPr="00191024">
        <w:rPr>
          <w:rFonts w:ascii="Arial" w:hAnsi="Arial"/>
        </w:rPr>
        <w:t xml:space="preserve">Der oben beschriebene Rückgang der durchschnittlichen Wohnkostenbelastung schließt </w:t>
      </w:r>
      <w:r w:rsidR="00653B09" w:rsidRPr="00191024">
        <w:rPr>
          <w:rFonts w:ascii="Arial" w:hAnsi="Arial"/>
        </w:rPr>
        <w:t xml:space="preserve">steigende Mieten </w:t>
      </w:r>
      <w:r w:rsidR="00A22B53" w:rsidRPr="00191024">
        <w:rPr>
          <w:rFonts w:ascii="Arial" w:hAnsi="Arial"/>
        </w:rPr>
        <w:t xml:space="preserve">nicht </w:t>
      </w:r>
      <w:r w:rsidRPr="00191024">
        <w:rPr>
          <w:rFonts w:ascii="Arial" w:hAnsi="Arial"/>
        </w:rPr>
        <w:t>aus:</w:t>
      </w:r>
      <w:r w:rsidR="00653B09" w:rsidRPr="00191024">
        <w:rPr>
          <w:rFonts w:ascii="Arial" w:hAnsi="Arial"/>
        </w:rPr>
        <w:t xml:space="preserve"> Wenn </w:t>
      </w:r>
      <w:r w:rsidRPr="00191024">
        <w:rPr>
          <w:rFonts w:ascii="Arial" w:hAnsi="Arial"/>
        </w:rPr>
        <w:t>sich bei einer Erhöhung der Miete auch das Ein</w:t>
      </w:r>
      <w:r w:rsidR="00653B09" w:rsidRPr="00191024">
        <w:rPr>
          <w:rFonts w:ascii="Arial" w:hAnsi="Arial"/>
        </w:rPr>
        <w:t>kommen erhöh</w:t>
      </w:r>
      <w:r w:rsidR="00A22B53" w:rsidRPr="00191024">
        <w:rPr>
          <w:rFonts w:ascii="Arial" w:hAnsi="Arial"/>
        </w:rPr>
        <w:t>t</w:t>
      </w:r>
      <w:r w:rsidR="00653B09" w:rsidRPr="00191024">
        <w:rPr>
          <w:rFonts w:ascii="Arial" w:hAnsi="Arial"/>
        </w:rPr>
        <w:t xml:space="preserve">, </w:t>
      </w:r>
      <w:r w:rsidRPr="00191024">
        <w:rPr>
          <w:rFonts w:ascii="Arial" w:hAnsi="Arial"/>
        </w:rPr>
        <w:t xml:space="preserve">kann die Wohnkostenbelastung gleich </w:t>
      </w:r>
      <w:r w:rsidR="00653B09" w:rsidRPr="00191024">
        <w:rPr>
          <w:rFonts w:ascii="Arial" w:hAnsi="Arial"/>
        </w:rPr>
        <w:t xml:space="preserve">bleiben. </w:t>
      </w:r>
      <w:r w:rsidR="00797B1B" w:rsidRPr="00191024">
        <w:rPr>
          <w:rFonts w:ascii="Arial" w:hAnsi="Arial"/>
        </w:rPr>
        <w:t xml:space="preserve">Zu dieser Situation kann es </w:t>
      </w:r>
      <w:r w:rsidR="00A22B53" w:rsidRPr="00191024">
        <w:rPr>
          <w:rFonts w:ascii="Arial" w:hAnsi="Arial"/>
        </w:rPr>
        <w:t xml:space="preserve">vermehrt </w:t>
      </w:r>
      <w:r w:rsidRPr="00191024">
        <w:rPr>
          <w:rFonts w:ascii="Arial" w:hAnsi="Arial"/>
        </w:rPr>
        <w:t xml:space="preserve">kommen, wenn die Mieten im Bereich Neuvermietung deutlich </w:t>
      </w:r>
      <w:r w:rsidR="00797B1B" w:rsidRPr="00191024">
        <w:rPr>
          <w:rFonts w:ascii="Arial" w:hAnsi="Arial"/>
        </w:rPr>
        <w:t xml:space="preserve">steigen, da Mieter dann im Durchschnitt seltener </w:t>
      </w:r>
      <w:r w:rsidR="00797B1B" w:rsidRPr="00191024">
        <w:rPr>
          <w:rFonts w:ascii="Arial" w:hAnsi="Arial" w:cs="Arial"/>
          <w:shd w:val="clear" w:color="auto" w:fill="FFFFFF"/>
        </w:rPr>
        <w:t>umziehen</w:t>
      </w:r>
      <w:r w:rsidRPr="00191024">
        <w:rPr>
          <w:rFonts w:ascii="Arial" w:hAnsi="Arial" w:cs="Arial"/>
          <w:shd w:val="clear" w:color="auto" w:fill="FFFFFF"/>
        </w:rPr>
        <w:t xml:space="preserve">, die </w:t>
      </w:r>
      <w:r w:rsidR="00042905" w:rsidRPr="00191024">
        <w:rPr>
          <w:rFonts w:ascii="Arial" w:hAnsi="Arial" w:cs="Arial"/>
          <w:shd w:val="clear" w:color="auto" w:fill="FFFFFF"/>
        </w:rPr>
        <w:t xml:space="preserve">Bestandsmieten </w:t>
      </w:r>
      <w:r w:rsidRPr="00191024">
        <w:rPr>
          <w:rFonts w:ascii="Arial" w:hAnsi="Arial" w:cs="Arial"/>
          <w:shd w:val="clear" w:color="auto" w:fill="FFFFFF"/>
        </w:rPr>
        <w:t xml:space="preserve">aber </w:t>
      </w:r>
      <w:r w:rsidR="00042905" w:rsidRPr="00191024">
        <w:rPr>
          <w:rFonts w:ascii="Arial" w:hAnsi="Arial" w:cs="Arial"/>
          <w:shd w:val="clear" w:color="auto" w:fill="FFFFFF"/>
        </w:rPr>
        <w:t>in der Regel langsamer steigen</w:t>
      </w:r>
      <w:r w:rsidR="00797B1B" w:rsidRPr="00191024">
        <w:rPr>
          <w:rFonts w:ascii="Arial" w:hAnsi="Arial" w:cs="Arial"/>
          <w:shd w:val="clear" w:color="auto" w:fill="FFFFFF"/>
        </w:rPr>
        <w:t xml:space="preserve">. </w:t>
      </w:r>
      <w:r w:rsidR="00A22B53" w:rsidRPr="00191024">
        <w:rPr>
          <w:rFonts w:ascii="Arial" w:hAnsi="Arial" w:cs="Arial"/>
          <w:shd w:val="clear" w:color="auto" w:fill="FFFFFF"/>
        </w:rPr>
        <w:t xml:space="preserve">Bei einem </w:t>
      </w:r>
      <w:r w:rsidR="00797B1B" w:rsidRPr="00191024">
        <w:rPr>
          <w:rFonts w:ascii="Arial" w:hAnsi="Arial" w:cs="Arial"/>
          <w:shd w:val="clear" w:color="auto" w:fill="FFFFFF"/>
        </w:rPr>
        <w:t>Umzug</w:t>
      </w:r>
      <w:r w:rsidR="00A22B53" w:rsidRPr="00191024">
        <w:rPr>
          <w:rFonts w:ascii="Arial" w:hAnsi="Arial" w:cs="Arial"/>
          <w:shd w:val="clear" w:color="auto" w:fill="FFFFFF"/>
        </w:rPr>
        <w:t xml:space="preserve"> </w:t>
      </w:r>
      <w:r w:rsidR="00797B1B" w:rsidRPr="00191024">
        <w:rPr>
          <w:rFonts w:ascii="Arial" w:hAnsi="Arial" w:cs="Arial"/>
          <w:shd w:val="clear" w:color="auto" w:fill="FFFFFF"/>
        </w:rPr>
        <w:t xml:space="preserve">kann eine Steigerung der </w:t>
      </w:r>
      <w:r w:rsidR="00797B1B" w:rsidRPr="00191024">
        <w:rPr>
          <w:rFonts w:ascii="Arial" w:hAnsi="Arial"/>
        </w:rPr>
        <w:t xml:space="preserve">Wohnkostenbelastung dadurch </w:t>
      </w:r>
      <w:r w:rsidR="00A22B53" w:rsidRPr="00191024">
        <w:rPr>
          <w:rFonts w:ascii="Arial" w:hAnsi="Arial"/>
        </w:rPr>
        <w:t>vermieden</w:t>
      </w:r>
      <w:r w:rsidR="00797B1B" w:rsidRPr="00191024">
        <w:rPr>
          <w:rFonts w:ascii="Arial" w:hAnsi="Arial"/>
        </w:rPr>
        <w:t xml:space="preserve"> werden, dass die Wohnfläche reduziert wird oder vom Zentrum ins Umland ausgewichen wird.</w:t>
      </w:r>
      <w:r w:rsidR="00FE6480" w:rsidRPr="00191024">
        <w:rPr>
          <w:rFonts w:ascii="Arial" w:hAnsi="Arial"/>
        </w:rPr>
        <w:t xml:space="preserve"> </w:t>
      </w:r>
      <w:r w:rsidR="007A615B" w:rsidRPr="00191024">
        <w:rPr>
          <w:rFonts w:ascii="Arial" w:hAnsi="Arial"/>
        </w:rPr>
        <w:t xml:space="preserve">Selbst </w:t>
      </w:r>
      <w:r w:rsidR="00797B1B" w:rsidRPr="00191024">
        <w:rPr>
          <w:rFonts w:ascii="Arial" w:hAnsi="Arial"/>
        </w:rPr>
        <w:t>h</w:t>
      </w:r>
      <w:r w:rsidR="00191024" w:rsidRPr="00191024">
        <w:rPr>
          <w:rFonts w:ascii="Arial" w:hAnsi="Arial"/>
        </w:rPr>
        <w:t>ö</w:t>
      </w:r>
      <w:r w:rsidR="00797B1B" w:rsidRPr="00191024">
        <w:rPr>
          <w:rFonts w:ascii="Arial" w:hAnsi="Arial"/>
        </w:rPr>
        <w:t>he</w:t>
      </w:r>
      <w:r w:rsidR="00191024" w:rsidRPr="00191024">
        <w:rPr>
          <w:rFonts w:ascii="Arial" w:hAnsi="Arial"/>
        </w:rPr>
        <w:t>re</w:t>
      </w:r>
      <w:r w:rsidR="00797B1B" w:rsidRPr="00191024">
        <w:rPr>
          <w:rFonts w:ascii="Arial" w:hAnsi="Arial"/>
        </w:rPr>
        <w:t xml:space="preserve"> Mieten </w:t>
      </w:r>
      <w:r w:rsidR="00653B09" w:rsidRPr="00191024">
        <w:rPr>
          <w:rFonts w:ascii="Arial" w:hAnsi="Arial"/>
        </w:rPr>
        <w:t xml:space="preserve">bei Neuvermietung </w:t>
      </w:r>
      <w:r w:rsidR="00191024" w:rsidRPr="00191024">
        <w:rPr>
          <w:rFonts w:ascii="Arial" w:hAnsi="Arial"/>
        </w:rPr>
        <w:t xml:space="preserve">steigern </w:t>
      </w:r>
      <w:r w:rsidR="00797B1B" w:rsidRPr="00191024">
        <w:rPr>
          <w:rFonts w:ascii="Arial" w:hAnsi="Arial"/>
        </w:rPr>
        <w:t xml:space="preserve">nicht </w:t>
      </w:r>
      <w:r w:rsidR="004D5BA4" w:rsidRPr="00191024">
        <w:rPr>
          <w:rFonts w:ascii="Arial" w:hAnsi="Arial"/>
        </w:rPr>
        <w:t>zwangsläufig</w:t>
      </w:r>
      <w:r w:rsidR="00A22B53" w:rsidRPr="00191024">
        <w:rPr>
          <w:rFonts w:ascii="Arial" w:hAnsi="Arial"/>
        </w:rPr>
        <w:t xml:space="preserve"> </w:t>
      </w:r>
      <w:r w:rsidR="00797B1B" w:rsidRPr="00191024">
        <w:rPr>
          <w:rFonts w:ascii="Arial" w:hAnsi="Arial"/>
        </w:rPr>
        <w:t xml:space="preserve">die durchschnittliche Wohnkostenbelastung: Wenn der neue Haushalt ein </w:t>
      </w:r>
      <w:r w:rsidR="00042905" w:rsidRPr="00191024">
        <w:rPr>
          <w:rFonts w:ascii="Arial" w:hAnsi="Arial"/>
        </w:rPr>
        <w:t xml:space="preserve">entsprechend </w:t>
      </w:r>
      <w:r w:rsidR="00797B1B" w:rsidRPr="00191024">
        <w:rPr>
          <w:rFonts w:ascii="Arial" w:hAnsi="Arial"/>
        </w:rPr>
        <w:t xml:space="preserve">höheres Einkommen hat, </w:t>
      </w:r>
      <w:r w:rsidR="00042905" w:rsidRPr="00191024">
        <w:rPr>
          <w:rFonts w:ascii="Arial" w:hAnsi="Arial"/>
        </w:rPr>
        <w:t>kann de</w:t>
      </w:r>
      <w:r w:rsidR="001759AF" w:rsidRPr="00191024">
        <w:rPr>
          <w:rFonts w:ascii="Arial" w:hAnsi="Arial"/>
        </w:rPr>
        <w:t xml:space="preserve">r Anteil, der vom </w:t>
      </w:r>
      <w:r w:rsidR="00042905" w:rsidRPr="00191024">
        <w:rPr>
          <w:rFonts w:ascii="Arial" w:hAnsi="Arial"/>
        </w:rPr>
        <w:t>verfügbare</w:t>
      </w:r>
      <w:r w:rsidR="001759AF" w:rsidRPr="00191024">
        <w:rPr>
          <w:rFonts w:ascii="Arial" w:hAnsi="Arial"/>
        </w:rPr>
        <w:t>n</w:t>
      </w:r>
      <w:r w:rsidR="00042905" w:rsidRPr="00191024">
        <w:rPr>
          <w:rFonts w:ascii="Arial" w:hAnsi="Arial"/>
        </w:rPr>
        <w:t xml:space="preserve"> Einkommen</w:t>
      </w:r>
      <w:r w:rsidR="001759AF" w:rsidRPr="00191024">
        <w:rPr>
          <w:rFonts w:ascii="Arial" w:hAnsi="Arial"/>
        </w:rPr>
        <w:t xml:space="preserve"> für Wohnkosten ausgegeben wird,</w:t>
      </w:r>
      <w:r w:rsidR="00042905" w:rsidRPr="00191024">
        <w:rPr>
          <w:rFonts w:ascii="Arial" w:hAnsi="Arial"/>
        </w:rPr>
        <w:t xml:space="preserve"> unverändert bleiben.</w:t>
      </w:r>
    </w:p>
    <w:p w14:paraId="7E1A03B1" w14:textId="77777777" w:rsidR="00FE6480" w:rsidRPr="00191024" w:rsidRDefault="00FE6480" w:rsidP="000002DA">
      <w:pPr>
        <w:rPr>
          <w:rFonts w:ascii="Arial" w:hAnsi="Arial"/>
        </w:rPr>
      </w:pPr>
    </w:p>
    <w:p w14:paraId="68FE4454" w14:textId="10A5F799" w:rsidR="00653B09" w:rsidRPr="00191024" w:rsidRDefault="00B46FD8" w:rsidP="000002DA">
      <w:pPr>
        <w:rPr>
          <w:rFonts w:ascii="Arial" w:hAnsi="Arial"/>
        </w:rPr>
      </w:pPr>
      <w:r w:rsidRPr="00191024">
        <w:rPr>
          <w:rFonts w:ascii="Arial" w:hAnsi="Arial"/>
        </w:rPr>
        <w:t xml:space="preserve">Steigende Mieten führen demnach nicht </w:t>
      </w:r>
      <w:r w:rsidR="00FD35C1">
        <w:rPr>
          <w:rFonts w:ascii="Arial" w:hAnsi="Arial"/>
        </w:rPr>
        <w:t xml:space="preserve">in jedem Fall </w:t>
      </w:r>
      <w:r w:rsidRPr="00191024">
        <w:rPr>
          <w:rFonts w:ascii="Arial" w:hAnsi="Arial"/>
        </w:rPr>
        <w:t xml:space="preserve">zu einer Steigerung der durchschnittlichen Wohnkostenbelastung, sondern </w:t>
      </w:r>
      <w:r w:rsidR="00FD35C1" w:rsidRPr="00191024">
        <w:rPr>
          <w:rFonts w:ascii="Arial" w:hAnsi="Arial"/>
        </w:rPr>
        <w:t xml:space="preserve">in erster Linie </w:t>
      </w:r>
      <w:r w:rsidRPr="00191024">
        <w:rPr>
          <w:rFonts w:ascii="Arial" w:hAnsi="Arial"/>
        </w:rPr>
        <w:t xml:space="preserve">zu einer </w:t>
      </w:r>
      <w:r w:rsidR="001759AF" w:rsidRPr="00191024">
        <w:rPr>
          <w:rFonts w:ascii="Arial" w:hAnsi="Arial"/>
        </w:rPr>
        <w:t>Veränderung der Sozialstruktur</w:t>
      </w:r>
      <w:r w:rsidRPr="00191024">
        <w:rPr>
          <w:rFonts w:ascii="Arial" w:hAnsi="Arial"/>
        </w:rPr>
        <w:t xml:space="preserve"> </w:t>
      </w:r>
      <w:r w:rsidR="004D5BA4" w:rsidRPr="00191024">
        <w:rPr>
          <w:rFonts w:ascii="Arial" w:hAnsi="Arial"/>
        </w:rPr>
        <w:t xml:space="preserve">durch Zu- und </w:t>
      </w:r>
      <w:r w:rsidR="00191024" w:rsidRPr="00191024">
        <w:rPr>
          <w:rFonts w:ascii="Arial" w:hAnsi="Arial"/>
        </w:rPr>
        <w:t>Abwanderung</w:t>
      </w:r>
      <w:r w:rsidR="004D5BA4" w:rsidRPr="00191024">
        <w:rPr>
          <w:rFonts w:ascii="Arial" w:hAnsi="Arial"/>
        </w:rPr>
        <w:t xml:space="preserve"> </w:t>
      </w:r>
      <w:r w:rsidR="007A615B" w:rsidRPr="00191024">
        <w:rPr>
          <w:rFonts w:ascii="Arial" w:hAnsi="Arial"/>
        </w:rPr>
        <w:t xml:space="preserve">– </w:t>
      </w:r>
      <w:r w:rsidR="00191024" w:rsidRPr="00191024">
        <w:rPr>
          <w:rFonts w:ascii="Arial" w:hAnsi="Arial"/>
        </w:rPr>
        <w:t xml:space="preserve">gegenwärtig vor allem </w:t>
      </w:r>
      <w:r w:rsidR="007A615B" w:rsidRPr="00191024">
        <w:rPr>
          <w:rFonts w:ascii="Arial" w:hAnsi="Arial"/>
        </w:rPr>
        <w:t>in den zentralen Lagen größerer Städte.</w:t>
      </w:r>
    </w:p>
    <w:p w14:paraId="470CA61F" w14:textId="77777777" w:rsidR="00FE6480" w:rsidRPr="00191024" w:rsidRDefault="00FE6480" w:rsidP="000002DA">
      <w:pPr>
        <w:rPr>
          <w:rFonts w:ascii="Arial" w:hAnsi="Arial"/>
        </w:rPr>
      </w:pPr>
    </w:p>
    <w:p w14:paraId="54802D05" w14:textId="77777777" w:rsidR="005931C1" w:rsidRPr="00D66574" w:rsidRDefault="005931C1" w:rsidP="005931C1">
      <w:pPr>
        <w:rPr>
          <w:rFonts w:ascii="Arial" w:hAnsi="Arial"/>
          <w:color w:val="FF0000"/>
        </w:rPr>
      </w:pPr>
      <w:r w:rsidRPr="00D66574">
        <w:rPr>
          <w:rFonts w:ascii="Arial" w:hAnsi="Arial"/>
          <w:color w:val="FF0000"/>
        </w:rPr>
        <w:t>Datenquelle</w:t>
      </w:r>
    </w:p>
    <w:p w14:paraId="544BFDE5" w14:textId="77777777" w:rsidR="005931C1" w:rsidRPr="00191024" w:rsidRDefault="005931C1" w:rsidP="005931C1">
      <w:pPr>
        <w:rPr>
          <w:rFonts w:ascii="Arial" w:hAnsi="Arial"/>
        </w:rPr>
      </w:pPr>
    </w:p>
    <w:p w14:paraId="1B53C79A" w14:textId="5A7CBD94" w:rsidR="005F54D5" w:rsidRPr="00191024" w:rsidRDefault="00DD4D46">
      <w:pPr>
        <w:rPr>
          <w:rFonts w:ascii="Arial" w:hAnsi="Arial"/>
        </w:rPr>
      </w:pPr>
      <w:r w:rsidRPr="00191024">
        <w:rPr>
          <w:rFonts w:ascii="Arial" w:hAnsi="Arial"/>
        </w:rPr>
        <w:t>Eurostat: EU-SILC Erhebung: Anteil der Wohnkosten am verfügbaren Haushaltseinkommen</w:t>
      </w:r>
      <w:r w:rsidR="00FD61B7" w:rsidRPr="00191024">
        <w:rPr>
          <w:rFonts w:ascii="Arial" w:hAnsi="Arial"/>
        </w:rPr>
        <w:t>, Finanzielle Belastung durch gesamte Wohnkosten</w:t>
      </w:r>
      <w:r w:rsidR="00A47933" w:rsidRPr="00191024">
        <w:rPr>
          <w:rFonts w:ascii="Arial" w:hAnsi="Arial"/>
        </w:rPr>
        <w:t xml:space="preserve">, Quote der Überbelastung durch Wohnkosten </w:t>
      </w:r>
      <w:r w:rsidR="00FD61B7" w:rsidRPr="00191024">
        <w:rPr>
          <w:rFonts w:ascii="Arial" w:hAnsi="Arial"/>
        </w:rPr>
        <w:t>(Stand: 08/2021)</w:t>
      </w:r>
    </w:p>
    <w:p w14:paraId="3F5784F8" w14:textId="77777777" w:rsidR="00A958C0" w:rsidRPr="00191024" w:rsidRDefault="00A958C0">
      <w:pPr>
        <w:rPr>
          <w:rFonts w:ascii="Arial" w:hAnsi="Arial"/>
        </w:rPr>
      </w:pPr>
    </w:p>
    <w:p w14:paraId="4C354A32" w14:textId="77777777" w:rsidR="005931C1" w:rsidRPr="00D66574" w:rsidRDefault="005931C1" w:rsidP="005931C1">
      <w:pPr>
        <w:rPr>
          <w:rFonts w:ascii="Arial" w:hAnsi="Arial"/>
          <w:color w:val="FF0000"/>
        </w:rPr>
      </w:pPr>
      <w:r w:rsidRPr="00D66574">
        <w:rPr>
          <w:rFonts w:ascii="Arial" w:hAnsi="Arial"/>
          <w:color w:val="FF0000"/>
        </w:rPr>
        <w:t>Begriffe, methodische Anmerkungen oder Lesehilfen</w:t>
      </w:r>
    </w:p>
    <w:p w14:paraId="336C4AD3" w14:textId="77777777" w:rsidR="005931C1" w:rsidRPr="00191024" w:rsidRDefault="005931C1" w:rsidP="005931C1">
      <w:pPr>
        <w:rPr>
          <w:rFonts w:ascii="Arial" w:hAnsi="Arial"/>
        </w:rPr>
      </w:pPr>
    </w:p>
    <w:p w14:paraId="201E3EF4" w14:textId="77777777" w:rsidR="00191024" w:rsidRPr="00191024" w:rsidRDefault="00191024">
      <w:pPr>
        <w:rPr>
          <w:rFonts w:ascii="Arial" w:hAnsi="Arial" w:cs="Arial"/>
          <w:shd w:val="clear" w:color="auto" w:fill="FFFFFF"/>
        </w:rPr>
      </w:pPr>
      <w:r w:rsidRPr="00191024">
        <w:rPr>
          <w:rFonts w:ascii="Arial" w:hAnsi="Arial" w:cs="Arial"/>
          <w:shd w:val="clear" w:color="auto" w:fill="FFFFFF"/>
        </w:rPr>
        <w:t xml:space="preserve">Als </w:t>
      </w:r>
      <w:r w:rsidRPr="00191024">
        <w:rPr>
          <w:rFonts w:ascii="Arial" w:hAnsi="Arial" w:cs="Arial"/>
          <w:b/>
          <w:shd w:val="clear" w:color="auto" w:fill="FFFFFF"/>
        </w:rPr>
        <w:t>Kinder</w:t>
      </w:r>
      <w:r w:rsidRPr="00191024">
        <w:rPr>
          <w:rFonts w:ascii="Arial" w:hAnsi="Arial" w:cs="Arial"/>
          <w:shd w:val="clear" w:color="auto" w:fill="FFFFFF"/>
        </w:rPr>
        <w:t xml:space="preserve"> gelten Personen unter 18 Jahren sowie Personen zwischen 18 und 24 Jahren, sofern sie nicht erwerbstätig oder arbeitsuchend sind und mit mindestens einem Elternteil zusammenleben. Die verwendete Definition besagt auch, dass ein Haushalt von zwei Erwachsenen nicht notwendigerweise ein Paarhaushalt ist. Es kann sich hierbei auch um den Haushalt eines Erwachsenen mit seinem älteren Kind (älter als 24 Jahre) handeln. </w:t>
      </w:r>
    </w:p>
    <w:p w14:paraId="1CFAAB63" w14:textId="77777777" w:rsidR="00191024" w:rsidRPr="00191024" w:rsidRDefault="00191024">
      <w:pPr>
        <w:rPr>
          <w:rFonts w:ascii="Arial" w:hAnsi="Arial" w:cs="Arial"/>
          <w:shd w:val="clear" w:color="auto" w:fill="FFFFFF"/>
        </w:rPr>
      </w:pPr>
    </w:p>
    <w:p w14:paraId="6D52B447" w14:textId="77777777" w:rsidR="00845232" w:rsidRDefault="00225C2D">
      <w:pPr>
        <w:rPr>
          <w:rFonts w:ascii="Arial" w:hAnsi="Arial" w:cs="Arial"/>
          <w:shd w:val="clear" w:color="auto" w:fill="FFFFFF"/>
        </w:rPr>
      </w:pPr>
      <w:r w:rsidRPr="00191024">
        <w:rPr>
          <w:rFonts w:ascii="Arial" w:hAnsi="Arial" w:cs="Arial"/>
          <w:shd w:val="clear" w:color="auto" w:fill="FFFFFF"/>
        </w:rPr>
        <w:t xml:space="preserve">Als </w:t>
      </w:r>
      <w:r w:rsidRPr="00191024">
        <w:rPr>
          <w:rFonts w:ascii="Arial" w:hAnsi="Arial" w:cs="Arial"/>
          <w:b/>
          <w:shd w:val="clear" w:color="auto" w:fill="FFFFFF"/>
        </w:rPr>
        <w:t>armutsgefährdet</w:t>
      </w:r>
      <w:r w:rsidRPr="00191024">
        <w:rPr>
          <w:rFonts w:ascii="Arial" w:hAnsi="Arial" w:cs="Arial"/>
          <w:shd w:val="clear" w:color="auto" w:fill="FFFFFF"/>
        </w:rPr>
        <w:t xml:space="preserve">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14:paraId="25477964" w14:textId="77777777" w:rsidR="00845232" w:rsidRDefault="00845232">
      <w:pPr>
        <w:rPr>
          <w:rFonts w:ascii="Arial" w:hAnsi="Arial" w:cs="Arial"/>
          <w:shd w:val="clear" w:color="auto" w:fill="FFFFFF"/>
        </w:rPr>
      </w:pPr>
    </w:p>
    <w:p w14:paraId="4E3638A0" w14:textId="4208A63A" w:rsidR="00225C2D" w:rsidRDefault="00225C2D">
      <w:pPr>
        <w:rPr>
          <w:rFonts w:ascii="Arial" w:hAnsi="Arial" w:cs="Arial"/>
          <w:shd w:val="clear" w:color="auto" w:fill="FFFFFF"/>
        </w:rPr>
      </w:pPr>
      <w:r w:rsidRPr="00191024">
        <w:rPr>
          <w:rFonts w:ascii="Arial" w:hAnsi="Arial" w:cs="Arial"/>
          <w:shd w:val="clear" w:color="auto" w:fill="FFFFFF"/>
        </w:rPr>
        <w:t>Um das </w:t>
      </w:r>
      <w:r w:rsidRPr="00191024">
        <w:rPr>
          <w:rStyle w:val="Fett"/>
          <w:rFonts w:ascii="Arial" w:hAnsi="Arial" w:cs="Arial"/>
          <w:shd w:val="clear" w:color="auto" w:fill="FFFFFF"/>
        </w:rPr>
        <w:t>mittlere Einkommen</w:t>
      </w:r>
      <w:r w:rsidRPr="00191024">
        <w:rPr>
          <w:rFonts w:ascii="Arial" w:hAnsi="Arial" w:cs="Arial"/>
          <w:shd w:val="clear" w:color="auto" w:fill="FFFFFF"/>
        </w:rPr>
        <w:t> zu berechnen, wird der </w:t>
      </w:r>
      <w:r w:rsidRPr="00191024">
        <w:rPr>
          <w:rStyle w:val="Fett"/>
          <w:rFonts w:ascii="Arial" w:hAnsi="Arial" w:cs="Arial"/>
          <w:shd w:val="clear" w:color="auto" w:fill="FFFFFF"/>
        </w:rPr>
        <w:t>Median </w:t>
      </w:r>
      <w:r w:rsidRPr="00191024">
        <w:rPr>
          <w:rFonts w:ascii="Arial" w:hAnsi="Arial" w:cs="Arial"/>
          <w:shd w:val="clear" w:color="auto" w:fill="FFFFFF"/>
        </w:rPr>
        <w:t>(Zentralwert) verwendet. Dabei werden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r w:rsidR="00845232">
        <w:rPr>
          <w:rFonts w:ascii="Arial" w:hAnsi="Arial" w:cs="Arial"/>
          <w:shd w:val="clear" w:color="auto" w:fill="FFFFFF"/>
        </w:rPr>
        <w:t xml:space="preserve"> </w:t>
      </w:r>
      <w:r w:rsidRPr="00191024">
        <w:rPr>
          <w:rFonts w:ascii="Arial" w:hAnsi="Arial" w:cs="Arial"/>
        </w:rPr>
        <w:br/>
      </w:r>
      <w:r w:rsidRPr="00191024">
        <w:rPr>
          <w:rFonts w:ascii="Arial" w:hAnsi="Arial" w:cs="Arial"/>
        </w:rPr>
        <w:br/>
      </w:r>
      <w:r w:rsidRPr="00191024">
        <w:rPr>
          <w:rFonts w:ascii="Arial" w:hAnsi="Arial" w:cs="Arial"/>
          <w:shd w:val="clear" w:color="auto" w:fill="FFFFFF"/>
        </w:rPr>
        <w:lastRenderedPageBreak/>
        <w:t>Weitere Informationen zur </w:t>
      </w:r>
      <w:r w:rsidRPr="00191024">
        <w:rPr>
          <w:rStyle w:val="Fett"/>
          <w:rFonts w:ascii="Arial" w:hAnsi="Arial" w:cs="Arial"/>
          <w:shd w:val="clear" w:color="auto" w:fill="FFFFFF"/>
        </w:rPr>
        <w:t>Armutsgefährdungsquote und zur Gewichtung der Einkommen</w:t>
      </w:r>
      <w:r w:rsidRPr="00191024">
        <w:rPr>
          <w:rFonts w:ascii="Arial" w:hAnsi="Arial" w:cs="Arial"/>
          <w:shd w:val="clear" w:color="auto" w:fill="FFFFFF"/>
        </w:rPr>
        <w:t xml:space="preserve"> erhalten Sie hier: </w:t>
      </w:r>
      <w:hyperlink r:id="rId8" w:history="1">
        <w:r w:rsidRPr="004D1E35">
          <w:rPr>
            <w:rStyle w:val="Hyperlink"/>
            <w:rFonts w:ascii="Arial" w:hAnsi="Arial" w:cs="Arial"/>
            <w:shd w:val="clear" w:color="auto" w:fill="FFFFFF"/>
          </w:rPr>
          <w:t>https://www.bpb.de/61785</w:t>
        </w:r>
      </w:hyperlink>
    </w:p>
    <w:p w14:paraId="7444BE84" w14:textId="77777777" w:rsidR="00225C2D" w:rsidRPr="00191024" w:rsidRDefault="00225C2D">
      <w:pPr>
        <w:rPr>
          <w:rFonts w:ascii="Arial" w:hAnsi="Arial"/>
        </w:rPr>
      </w:pPr>
    </w:p>
    <w:p w14:paraId="2DA24CD1" w14:textId="77777777" w:rsidR="00B55676" w:rsidRPr="00191024" w:rsidRDefault="00B55676" w:rsidP="00B55676">
      <w:pPr>
        <w:rPr>
          <w:rFonts w:ascii="Arial" w:hAnsi="Arial"/>
          <w:sz w:val="20"/>
          <w:szCs w:val="20"/>
        </w:rPr>
      </w:pPr>
      <w:r w:rsidRPr="00191024">
        <w:rPr>
          <w:rFonts w:ascii="Arial" w:hAnsi="Arial"/>
          <w:sz w:val="20"/>
          <w:szCs w:val="20"/>
        </w:rPr>
        <w:t xml:space="preserve">Dieser Text ist unter der Creative Commons Lizenz </w:t>
      </w:r>
      <w:hyperlink r:id="rId9" w:tgtFrame="extern" w:history="1">
        <w:r w:rsidRPr="00191024">
          <w:rPr>
            <w:rFonts w:ascii="Arial" w:hAnsi="Arial"/>
            <w:sz w:val="20"/>
            <w:szCs w:val="20"/>
          </w:rPr>
          <w:t>by-nc-nd/3.0/de/</w:t>
        </w:r>
      </w:hyperlink>
      <w:r w:rsidRPr="00191024">
        <w:rPr>
          <w:rFonts w:ascii="Arial" w:hAnsi="Arial"/>
          <w:sz w:val="20"/>
          <w:szCs w:val="20"/>
        </w:rPr>
        <w:t xml:space="preserve"> veröffentlicht. </w:t>
      </w:r>
    </w:p>
    <w:p w14:paraId="6212D360" w14:textId="49A0F238" w:rsidR="005A6AA4" w:rsidRPr="00191024" w:rsidRDefault="00B55676" w:rsidP="00B55676">
      <w:pPr>
        <w:rPr>
          <w:rFonts w:ascii="Arial" w:hAnsi="Arial" w:cs="Arial"/>
        </w:rPr>
      </w:pPr>
      <w:r w:rsidRPr="00191024">
        <w:rPr>
          <w:rFonts w:ascii="Arial" w:hAnsi="Arial"/>
          <w:sz w:val="20"/>
          <w:szCs w:val="20"/>
        </w:rPr>
        <w:t>Bundeszentrale für politische Bildung 20</w:t>
      </w:r>
      <w:r w:rsidR="00225C2D" w:rsidRPr="00191024">
        <w:rPr>
          <w:rFonts w:ascii="Arial" w:hAnsi="Arial"/>
          <w:sz w:val="20"/>
          <w:szCs w:val="20"/>
        </w:rPr>
        <w:t>21</w:t>
      </w:r>
      <w:r w:rsidRPr="00191024">
        <w:rPr>
          <w:rFonts w:ascii="Arial" w:hAnsi="Arial"/>
          <w:sz w:val="20"/>
          <w:szCs w:val="20"/>
        </w:rPr>
        <w:t xml:space="preserve"> | </w:t>
      </w:r>
      <w:hyperlink r:id="rId10" w:history="1">
        <w:r w:rsidRPr="00191024">
          <w:rPr>
            <w:rFonts w:ascii="Arial" w:hAnsi="Arial"/>
            <w:sz w:val="20"/>
            <w:szCs w:val="20"/>
          </w:rPr>
          <w:t>www.bpb.de</w:t>
        </w:r>
      </w:hyperlink>
    </w:p>
    <w:sectPr w:rsidR="005A6AA4" w:rsidRPr="0019102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8816" w14:textId="77777777" w:rsidR="009356C1" w:rsidRDefault="009356C1">
      <w:r>
        <w:separator/>
      </w:r>
    </w:p>
  </w:endnote>
  <w:endnote w:type="continuationSeparator" w:id="0">
    <w:p w14:paraId="3C7CCF9A" w14:textId="77777777" w:rsidR="009356C1" w:rsidRDefault="0093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3AEC8" w14:textId="77777777" w:rsidR="009356C1" w:rsidRDefault="009356C1">
      <w:r>
        <w:rPr>
          <w:color w:val="000000"/>
        </w:rPr>
        <w:separator/>
      </w:r>
    </w:p>
  </w:footnote>
  <w:footnote w:type="continuationSeparator" w:id="0">
    <w:p w14:paraId="2D664496" w14:textId="77777777" w:rsidR="009356C1" w:rsidRDefault="00935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2EEC"/>
    <w:multiLevelType w:val="hybridMultilevel"/>
    <w:tmpl w:val="EC16CFE0"/>
    <w:lvl w:ilvl="0" w:tplc="A8DCA7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C0"/>
    <w:rsid w:val="000002DA"/>
    <w:rsid w:val="0004074B"/>
    <w:rsid w:val="00042905"/>
    <w:rsid w:val="000514B1"/>
    <w:rsid w:val="000A11EE"/>
    <w:rsid w:val="000F20AF"/>
    <w:rsid w:val="000F60B4"/>
    <w:rsid w:val="00114EE4"/>
    <w:rsid w:val="001270E3"/>
    <w:rsid w:val="0013110F"/>
    <w:rsid w:val="001759AF"/>
    <w:rsid w:val="00191024"/>
    <w:rsid w:val="00194DE7"/>
    <w:rsid w:val="001A43BE"/>
    <w:rsid w:val="00201079"/>
    <w:rsid w:val="00205230"/>
    <w:rsid w:val="00225C2D"/>
    <w:rsid w:val="002450C9"/>
    <w:rsid w:val="002636D8"/>
    <w:rsid w:val="00265E67"/>
    <w:rsid w:val="002B4561"/>
    <w:rsid w:val="002D798F"/>
    <w:rsid w:val="002E1C11"/>
    <w:rsid w:val="00303BFE"/>
    <w:rsid w:val="00315A89"/>
    <w:rsid w:val="0035772B"/>
    <w:rsid w:val="00363CE6"/>
    <w:rsid w:val="00376759"/>
    <w:rsid w:val="003B086B"/>
    <w:rsid w:val="003C3F03"/>
    <w:rsid w:val="003D1E40"/>
    <w:rsid w:val="003F6BA5"/>
    <w:rsid w:val="00414350"/>
    <w:rsid w:val="00430D70"/>
    <w:rsid w:val="004773CC"/>
    <w:rsid w:val="00493200"/>
    <w:rsid w:val="004D5BA4"/>
    <w:rsid w:val="004F54FC"/>
    <w:rsid w:val="0050096B"/>
    <w:rsid w:val="00546E8F"/>
    <w:rsid w:val="005931C1"/>
    <w:rsid w:val="005A6AA4"/>
    <w:rsid w:val="005B4317"/>
    <w:rsid w:val="005C4F5E"/>
    <w:rsid w:val="005D0C14"/>
    <w:rsid w:val="005E453A"/>
    <w:rsid w:val="005F54D5"/>
    <w:rsid w:val="005F7E5D"/>
    <w:rsid w:val="00600CB0"/>
    <w:rsid w:val="00626E27"/>
    <w:rsid w:val="00632F99"/>
    <w:rsid w:val="00646C46"/>
    <w:rsid w:val="00653B09"/>
    <w:rsid w:val="006600E9"/>
    <w:rsid w:val="00662608"/>
    <w:rsid w:val="00690BF9"/>
    <w:rsid w:val="006D601D"/>
    <w:rsid w:val="00701127"/>
    <w:rsid w:val="00730AE3"/>
    <w:rsid w:val="00742C8C"/>
    <w:rsid w:val="007570CC"/>
    <w:rsid w:val="00766116"/>
    <w:rsid w:val="007820D8"/>
    <w:rsid w:val="00794387"/>
    <w:rsid w:val="00797B1B"/>
    <w:rsid w:val="007A615B"/>
    <w:rsid w:val="007D2A48"/>
    <w:rsid w:val="007D7B65"/>
    <w:rsid w:val="007E300B"/>
    <w:rsid w:val="007F0EBD"/>
    <w:rsid w:val="007F3169"/>
    <w:rsid w:val="0080705C"/>
    <w:rsid w:val="00831A2C"/>
    <w:rsid w:val="008410D5"/>
    <w:rsid w:val="00845232"/>
    <w:rsid w:val="008571B6"/>
    <w:rsid w:val="00862528"/>
    <w:rsid w:val="0089450A"/>
    <w:rsid w:val="008967C1"/>
    <w:rsid w:val="008A5815"/>
    <w:rsid w:val="008B4F84"/>
    <w:rsid w:val="008D547D"/>
    <w:rsid w:val="008D7B38"/>
    <w:rsid w:val="00921B25"/>
    <w:rsid w:val="00934275"/>
    <w:rsid w:val="009356C1"/>
    <w:rsid w:val="00935EE5"/>
    <w:rsid w:val="00940802"/>
    <w:rsid w:val="009A5661"/>
    <w:rsid w:val="009B7912"/>
    <w:rsid w:val="009F1216"/>
    <w:rsid w:val="00A06314"/>
    <w:rsid w:val="00A22B53"/>
    <w:rsid w:val="00A47933"/>
    <w:rsid w:val="00A56D82"/>
    <w:rsid w:val="00A94002"/>
    <w:rsid w:val="00A958C0"/>
    <w:rsid w:val="00AA0C8A"/>
    <w:rsid w:val="00AA1106"/>
    <w:rsid w:val="00AC2227"/>
    <w:rsid w:val="00AC2A88"/>
    <w:rsid w:val="00AC6BEB"/>
    <w:rsid w:val="00AE2DFC"/>
    <w:rsid w:val="00B0032D"/>
    <w:rsid w:val="00B02920"/>
    <w:rsid w:val="00B12F79"/>
    <w:rsid w:val="00B179A5"/>
    <w:rsid w:val="00B42A9E"/>
    <w:rsid w:val="00B46648"/>
    <w:rsid w:val="00B46FD8"/>
    <w:rsid w:val="00B5557E"/>
    <w:rsid w:val="00B55676"/>
    <w:rsid w:val="00B70F60"/>
    <w:rsid w:val="00B71892"/>
    <w:rsid w:val="00BA190C"/>
    <w:rsid w:val="00BE00C3"/>
    <w:rsid w:val="00BF66AF"/>
    <w:rsid w:val="00BF7403"/>
    <w:rsid w:val="00C03DD4"/>
    <w:rsid w:val="00C139D0"/>
    <w:rsid w:val="00C20EBA"/>
    <w:rsid w:val="00C27B6B"/>
    <w:rsid w:val="00C770E7"/>
    <w:rsid w:val="00C80EE1"/>
    <w:rsid w:val="00C907AB"/>
    <w:rsid w:val="00C968AC"/>
    <w:rsid w:val="00CB7B06"/>
    <w:rsid w:val="00CC7786"/>
    <w:rsid w:val="00CD351B"/>
    <w:rsid w:val="00CF5F09"/>
    <w:rsid w:val="00D5015D"/>
    <w:rsid w:val="00D55EB8"/>
    <w:rsid w:val="00D604FD"/>
    <w:rsid w:val="00D63FB4"/>
    <w:rsid w:val="00D66574"/>
    <w:rsid w:val="00D777D2"/>
    <w:rsid w:val="00D86371"/>
    <w:rsid w:val="00DB0FB0"/>
    <w:rsid w:val="00DC60FE"/>
    <w:rsid w:val="00DD4D46"/>
    <w:rsid w:val="00E12DD2"/>
    <w:rsid w:val="00E16BD7"/>
    <w:rsid w:val="00E325C5"/>
    <w:rsid w:val="00E371AE"/>
    <w:rsid w:val="00E6340F"/>
    <w:rsid w:val="00E73888"/>
    <w:rsid w:val="00E81B92"/>
    <w:rsid w:val="00EA7672"/>
    <w:rsid w:val="00EB01FE"/>
    <w:rsid w:val="00EB5B38"/>
    <w:rsid w:val="00ED5C74"/>
    <w:rsid w:val="00F004DE"/>
    <w:rsid w:val="00F17F2F"/>
    <w:rsid w:val="00F53F6D"/>
    <w:rsid w:val="00F604D4"/>
    <w:rsid w:val="00FC2368"/>
    <w:rsid w:val="00FD35C1"/>
    <w:rsid w:val="00FD61B7"/>
    <w:rsid w:val="00FE6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5A6A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5A6AA4"/>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styleId="Fett">
    <w:name w:val="Strong"/>
    <w:basedOn w:val="Absatz-Standardschriftart"/>
    <w:uiPriority w:val="22"/>
    <w:qFormat/>
    <w:rsid w:val="00225C2D"/>
    <w:rPr>
      <w:b/>
      <w:bCs/>
    </w:rPr>
  </w:style>
  <w:style w:type="character" w:customStyle="1" w:styleId="berschrift2Zchn">
    <w:name w:val="Überschrift 2 Zchn"/>
    <w:basedOn w:val="Absatz-Standardschriftart"/>
    <w:link w:val="berschrift2"/>
    <w:uiPriority w:val="9"/>
    <w:semiHidden/>
    <w:rsid w:val="005A6AA4"/>
    <w:rPr>
      <w:rFonts w:asciiTheme="majorHAnsi" w:eastAsiaTheme="majorEastAsia" w:hAnsiTheme="majorHAnsi" w:cstheme="majorBidi"/>
      <w:b/>
      <w:bCs/>
      <w:color w:val="5B9BD5" w:themeColor="accent1"/>
      <w:sz w:val="26"/>
      <w:szCs w:val="26"/>
    </w:rPr>
  </w:style>
  <w:style w:type="character" w:customStyle="1" w:styleId="c-social-baricon-element">
    <w:name w:val="c-social-bar__icon-element"/>
    <w:basedOn w:val="Absatz-Standardschriftart"/>
    <w:rsid w:val="005A6AA4"/>
  </w:style>
  <w:style w:type="character" w:customStyle="1" w:styleId="c-social-baricon-label">
    <w:name w:val="c-social-bar__icon-label"/>
    <w:basedOn w:val="Absatz-Standardschriftart"/>
    <w:rsid w:val="005A6AA4"/>
  </w:style>
  <w:style w:type="paragraph" w:styleId="StandardWeb">
    <w:name w:val="Normal (Web)"/>
    <w:basedOn w:val="Standard"/>
    <w:uiPriority w:val="99"/>
    <w:semiHidden/>
    <w:unhideWhenUsed/>
    <w:rsid w:val="005A6AA4"/>
    <w:pPr>
      <w:suppressAutoHyphens w:val="0"/>
      <w:autoSpaceDN/>
      <w:spacing w:before="100" w:beforeAutospacing="1" w:after="100" w:afterAutospacing="1"/>
      <w:textAlignment w:val="auto"/>
    </w:pPr>
  </w:style>
  <w:style w:type="character" w:customStyle="1" w:styleId="c-article-textdrop-cap">
    <w:name w:val="c-article-text__drop-cap"/>
    <w:basedOn w:val="Absatz-Standardschriftart"/>
    <w:rsid w:val="005A6AA4"/>
  </w:style>
  <w:style w:type="character" w:customStyle="1" w:styleId="berschrift3Zchn">
    <w:name w:val="Überschrift 3 Zchn"/>
    <w:basedOn w:val="Absatz-Standardschriftart"/>
    <w:link w:val="berschrift3"/>
    <w:uiPriority w:val="9"/>
    <w:semiHidden/>
    <w:rsid w:val="005A6AA4"/>
    <w:rPr>
      <w:rFonts w:asciiTheme="majorHAnsi" w:eastAsiaTheme="majorEastAsia" w:hAnsiTheme="majorHAnsi" w:cstheme="majorBidi"/>
      <w:b/>
      <w:bCs/>
      <w:color w:val="5B9BD5" w:themeColor="accent1"/>
      <w:sz w:val="24"/>
      <w:szCs w:val="24"/>
    </w:rPr>
  </w:style>
  <w:style w:type="paragraph" w:styleId="Listenabsatz">
    <w:name w:val="List Paragraph"/>
    <w:basedOn w:val="Standard"/>
    <w:uiPriority w:val="34"/>
    <w:qFormat/>
    <w:rsid w:val="00D63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5A6A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5A6AA4"/>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styleId="Fett">
    <w:name w:val="Strong"/>
    <w:basedOn w:val="Absatz-Standardschriftart"/>
    <w:uiPriority w:val="22"/>
    <w:qFormat/>
    <w:rsid w:val="00225C2D"/>
    <w:rPr>
      <w:b/>
      <w:bCs/>
    </w:rPr>
  </w:style>
  <w:style w:type="character" w:customStyle="1" w:styleId="berschrift2Zchn">
    <w:name w:val="Überschrift 2 Zchn"/>
    <w:basedOn w:val="Absatz-Standardschriftart"/>
    <w:link w:val="berschrift2"/>
    <w:uiPriority w:val="9"/>
    <w:semiHidden/>
    <w:rsid w:val="005A6AA4"/>
    <w:rPr>
      <w:rFonts w:asciiTheme="majorHAnsi" w:eastAsiaTheme="majorEastAsia" w:hAnsiTheme="majorHAnsi" w:cstheme="majorBidi"/>
      <w:b/>
      <w:bCs/>
      <w:color w:val="5B9BD5" w:themeColor="accent1"/>
      <w:sz w:val="26"/>
      <w:szCs w:val="26"/>
    </w:rPr>
  </w:style>
  <w:style w:type="character" w:customStyle="1" w:styleId="c-social-baricon-element">
    <w:name w:val="c-social-bar__icon-element"/>
    <w:basedOn w:val="Absatz-Standardschriftart"/>
    <w:rsid w:val="005A6AA4"/>
  </w:style>
  <w:style w:type="character" w:customStyle="1" w:styleId="c-social-baricon-label">
    <w:name w:val="c-social-bar__icon-label"/>
    <w:basedOn w:val="Absatz-Standardschriftart"/>
    <w:rsid w:val="005A6AA4"/>
  </w:style>
  <w:style w:type="paragraph" w:styleId="StandardWeb">
    <w:name w:val="Normal (Web)"/>
    <w:basedOn w:val="Standard"/>
    <w:uiPriority w:val="99"/>
    <w:semiHidden/>
    <w:unhideWhenUsed/>
    <w:rsid w:val="005A6AA4"/>
    <w:pPr>
      <w:suppressAutoHyphens w:val="0"/>
      <w:autoSpaceDN/>
      <w:spacing w:before="100" w:beforeAutospacing="1" w:after="100" w:afterAutospacing="1"/>
      <w:textAlignment w:val="auto"/>
    </w:pPr>
  </w:style>
  <w:style w:type="character" w:customStyle="1" w:styleId="c-article-textdrop-cap">
    <w:name w:val="c-article-text__drop-cap"/>
    <w:basedOn w:val="Absatz-Standardschriftart"/>
    <w:rsid w:val="005A6AA4"/>
  </w:style>
  <w:style w:type="character" w:customStyle="1" w:styleId="berschrift3Zchn">
    <w:name w:val="Überschrift 3 Zchn"/>
    <w:basedOn w:val="Absatz-Standardschriftart"/>
    <w:link w:val="berschrift3"/>
    <w:uiPriority w:val="9"/>
    <w:semiHidden/>
    <w:rsid w:val="005A6AA4"/>
    <w:rPr>
      <w:rFonts w:asciiTheme="majorHAnsi" w:eastAsiaTheme="majorEastAsia" w:hAnsiTheme="majorHAnsi" w:cstheme="majorBidi"/>
      <w:b/>
      <w:bCs/>
      <w:color w:val="5B9BD5" w:themeColor="accent1"/>
      <w:sz w:val="24"/>
      <w:szCs w:val="24"/>
    </w:rPr>
  </w:style>
  <w:style w:type="paragraph" w:styleId="Listenabsatz">
    <w:name w:val="List Paragraph"/>
    <w:basedOn w:val="Standard"/>
    <w:uiPriority w:val="34"/>
    <w:qFormat/>
    <w:rsid w:val="00D6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522">
      <w:bodyDiv w:val="1"/>
      <w:marLeft w:val="0"/>
      <w:marRight w:val="0"/>
      <w:marTop w:val="0"/>
      <w:marBottom w:val="0"/>
      <w:divBdr>
        <w:top w:val="none" w:sz="0" w:space="0" w:color="auto"/>
        <w:left w:val="none" w:sz="0" w:space="0" w:color="auto"/>
        <w:bottom w:val="none" w:sz="0" w:space="0" w:color="auto"/>
        <w:right w:val="none" w:sz="0" w:space="0" w:color="auto"/>
      </w:divBdr>
    </w:div>
    <w:div w:id="265499382">
      <w:bodyDiv w:val="1"/>
      <w:marLeft w:val="0"/>
      <w:marRight w:val="0"/>
      <w:marTop w:val="0"/>
      <w:marBottom w:val="0"/>
      <w:divBdr>
        <w:top w:val="none" w:sz="0" w:space="0" w:color="auto"/>
        <w:left w:val="none" w:sz="0" w:space="0" w:color="auto"/>
        <w:bottom w:val="none" w:sz="0" w:space="0" w:color="auto"/>
        <w:right w:val="none" w:sz="0" w:space="0" w:color="auto"/>
      </w:divBdr>
    </w:div>
    <w:div w:id="335307423">
      <w:bodyDiv w:val="1"/>
      <w:marLeft w:val="0"/>
      <w:marRight w:val="0"/>
      <w:marTop w:val="0"/>
      <w:marBottom w:val="0"/>
      <w:divBdr>
        <w:top w:val="none" w:sz="0" w:space="0" w:color="auto"/>
        <w:left w:val="none" w:sz="0" w:space="0" w:color="auto"/>
        <w:bottom w:val="none" w:sz="0" w:space="0" w:color="auto"/>
        <w:right w:val="none" w:sz="0" w:space="0" w:color="auto"/>
      </w:divBdr>
    </w:div>
    <w:div w:id="1092556261">
      <w:bodyDiv w:val="1"/>
      <w:marLeft w:val="0"/>
      <w:marRight w:val="0"/>
      <w:marTop w:val="0"/>
      <w:marBottom w:val="0"/>
      <w:divBdr>
        <w:top w:val="none" w:sz="0" w:space="0" w:color="auto"/>
        <w:left w:val="none" w:sz="0" w:space="0" w:color="auto"/>
        <w:bottom w:val="none" w:sz="0" w:space="0" w:color="auto"/>
        <w:right w:val="none" w:sz="0" w:space="0" w:color="auto"/>
      </w:divBdr>
      <w:divsChild>
        <w:div w:id="1710254939">
          <w:marLeft w:val="0"/>
          <w:marRight w:val="0"/>
          <w:marTop w:val="0"/>
          <w:marBottom w:val="0"/>
          <w:divBdr>
            <w:top w:val="none" w:sz="0" w:space="0" w:color="auto"/>
            <w:left w:val="none" w:sz="0" w:space="0" w:color="auto"/>
            <w:bottom w:val="none" w:sz="0" w:space="0" w:color="auto"/>
            <w:right w:val="none" w:sz="0" w:space="0" w:color="auto"/>
          </w:divBdr>
          <w:divsChild>
            <w:div w:id="1600674398">
              <w:marLeft w:val="0"/>
              <w:marRight w:val="0"/>
              <w:marTop w:val="0"/>
              <w:marBottom w:val="0"/>
              <w:divBdr>
                <w:top w:val="none" w:sz="0" w:space="0" w:color="auto"/>
                <w:left w:val="none" w:sz="0" w:space="0" w:color="auto"/>
                <w:bottom w:val="none" w:sz="0" w:space="0" w:color="auto"/>
                <w:right w:val="none" w:sz="0" w:space="0" w:color="auto"/>
              </w:divBdr>
              <w:divsChild>
                <w:div w:id="1475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586">
          <w:marLeft w:val="0"/>
          <w:marRight w:val="0"/>
          <w:marTop w:val="0"/>
          <w:marBottom w:val="270"/>
          <w:divBdr>
            <w:top w:val="none" w:sz="0" w:space="0" w:color="auto"/>
            <w:left w:val="none" w:sz="0" w:space="0" w:color="auto"/>
            <w:bottom w:val="none" w:sz="0" w:space="0" w:color="auto"/>
            <w:right w:val="none" w:sz="0" w:space="0" w:color="auto"/>
          </w:divBdr>
          <w:divsChild>
            <w:div w:id="1080325839">
              <w:marLeft w:val="75"/>
              <w:marRight w:val="0"/>
              <w:marTop w:val="0"/>
              <w:marBottom w:val="0"/>
              <w:divBdr>
                <w:top w:val="none" w:sz="0" w:space="0" w:color="auto"/>
                <w:left w:val="none" w:sz="0" w:space="0" w:color="auto"/>
                <w:bottom w:val="none" w:sz="0" w:space="0" w:color="auto"/>
                <w:right w:val="none" w:sz="0" w:space="0" w:color="auto"/>
              </w:divBdr>
              <w:divsChild>
                <w:div w:id="4949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592">
          <w:marLeft w:val="0"/>
          <w:marRight w:val="0"/>
          <w:marTop w:val="0"/>
          <w:marBottom w:val="0"/>
          <w:divBdr>
            <w:top w:val="none" w:sz="0" w:space="0" w:color="auto"/>
            <w:left w:val="none" w:sz="0" w:space="0" w:color="auto"/>
            <w:bottom w:val="none" w:sz="0" w:space="0" w:color="auto"/>
            <w:right w:val="none" w:sz="0" w:space="0" w:color="auto"/>
          </w:divBdr>
          <w:divsChild>
            <w:div w:id="804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5636">
      <w:bodyDiv w:val="1"/>
      <w:marLeft w:val="0"/>
      <w:marRight w:val="0"/>
      <w:marTop w:val="0"/>
      <w:marBottom w:val="0"/>
      <w:divBdr>
        <w:top w:val="none" w:sz="0" w:space="0" w:color="auto"/>
        <w:left w:val="none" w:sz="0" w:space="0" w:color="auto"/>
        <w:bottom w:val="none" w:sz="0" w:space="0" w:color="auto"/>
        <w:right w:val="none" w:sz="0" w:space="0" w:color="auto"/>
      </w:divBdr>
    </w:div>
    <w:div w:id="1315061328">
      <w:bodyDiv w:val="1"/>
      <w:marLeft w:val="0"/>
      <w:marRight w:val="0"/>
      <w:marTop w:val="0"/>
      <w:marBottom w:val="0"/>
      <w:divBdr>
        <w:top w:val="none" w:sz="0" w:space="0" w:color="auto"/>
        <w:left w:val="none" w:sz="0" w:space="0" w:color="auto"/>
        <w:bottom w:val="none" w:sz="0" w:space="0" w:color="auto"/>
        <w:right w:val="none" w:sz="0" w:space="0" w:color="auto"/>
      </w:divBdr>
    </w:div>
    <w:div w:id="1386373432">
      <w:bodyDiv w:val="1"/>
      <w:marLeft w:val="0"/>
      <w:marRight w:val="0"/>
      <w:marTop w:val="0"/>
      <w:marBottom w:val="0"/>
      <w:divBdr>
        <w:top w:val="none" w:sz="0" w:space="0" w:color="auto"/>
        <w:left w:val="none" w:sz="0" w:space="0" w:color="auto"/>
        <w:bottom w:val="none" w:sz="0" w:space="0" w:color="auto"/>
        <w:right w:val="none" w:sz="0" w:space="0" w:color="auto"/>
      </w:divBdr>
    </w:div>
    <w:div w:id="1653749385">
      <w:bodyDiv w:val="1"/>
      <w:marLeft w:val="0"/>
      <w:marRight w:val="0"/>
      <w:marTop w:val="0"/>
      <w:marBottom w:val="0"/>
      <w:divBdr>
        <w:top w:val="none" w:sz="0" w:space="0" w:color="auto"/>
        <w:left w:val="none" w:sz="0" w:space="0" w:color="auto"/>
        <w:bottom w:val="none" w:sz="0" w:space="0" w:color="auto"/>
        <w:right w:val="none" w:sz="0" w:space="0" w:color="auto"/>
      </w:divBdr>
    </w:div>
    <w:div w:id="201637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7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2021-10-13T11:34:00Z</dcterms:created>
  <dcterms:modified xsi:type="dcterms:W3CDTF">2021-10-13T12:24:00Z</dcterms:modified>
</cp:coreProperties>
</file>